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ציפי כהן אביטן</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559975633"/>
              <w:text w:multiLine="1"/>
            </w:sdtPr>
            <w:sdtEndPr/>
            <w:sdtContent>
              <w:p w:rsidR="005C5955" w:rsidRDefault="00EA76A3">
                <w:pPr>
                  <w:bidi w:val="0"/>
                  <w:jc w:val="right"/>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2914D6" w:rsidRDefault="002914D6">
            <w:pPr>
              <w:rPr>
                <w:rFonts w:ascii="Arial" w:hAnsi="Arial"/>
                <w:b/>
                <w:bCs/>
                <w:noProof w:val="0"/>
                <w:sz w:val="26"/>
                <w:szCs w:val="26"/>
              </w:rPr>
            </w:pPr>
          </w:p>
          <w:p w:rsidR="007976D9" w:rsidRDefault="00CA741A" w:rsidP="007976D9">
            <w:pPr>
              <w:rPr>
                <w:b/>
                <w:bCs/>
                <w:noProof w:val="0"/>
                <w:sz w:val="26"/>
                <w:szCs w:val="26"/>
              </w:rPr>
            </w:pPr>
            <w:sdt>
              <w:sdtPr>
                <w:rPr>
                  <w:rtl/>
                </w:rPr>
                <w:alias w:val="1462"/>
                <w:tag w:val="1462"/>
                <w:id w:val="-568649798"/>
                <w:text w:multiLine="1"/>
              </w:sdtPr>
              <w:sdtEndPr/>
              <w:sdtContent>
                <w:r w:rsidR="007976D9">
                  <w:rPr>
                    <w:rFonts w:ascii="Arial" w:hAnsi="Arial" w:hint="cs"/>
                    <w:b/>
                    <w:bCs/>
                    <w:noProof w:val="0"/>
                    <w:sz w:val="26"/>
                    <w:szCs w:val="26"/>
                    <w:rtl/>
                  </w:rPr>
                  <w:t>פלונים</w:t>
                </w:r>
              </w:sdtContent>
            </w:sdt>
          </w:p>
          <w:p w:rsidR="002914D6" w:rsidRDefault="002914D6">
            <w:pPr>
              <w:rPr>
                <w:b/>
                <w:bCs/>
                <w:noProof w:val="0"/>
                <w:sz w:val="26"/>
                <w:szCs w:val="26"/>
              </w:rPr>
            </w:pPr>
          </w:p>
        </w:tc>
      </w:tr>
      <w:tr w:rsidR="002914D6">
        <w:trPr>
          <w:jc w:val="center"/>
        </w:trPr>
        <w:tc>
          <w:tcPr>
            <w:tcW w:w="8820" w:type="dxa"/>
            <w:gridSpan w:val="3"/>
          </w:tcPr>
          <w:p w:rsidR="002914D6" w:rsidRPr="007976D9" w:rsidRDefault="007976D9">
            <w:pPr>
              <w:rPr>
                <w:rFonts w:ascii="Arial" w:hAnsi="Arial"/>
                <w:b/>
                <w:bCs/>
                <w:noProof w:val="0"/>
                <w:sz w:val="28"/>
                <w:szCs w:val="28"/>
                <w:rtl/>
              </w:rPr>
            </w:pPr>
            <w:r>
              <w:rPr>
                <w:rFonts w:ascii="Arial" w:hAnsi="Arial" w:hint="cs"/>
                <w:b/>
                <w:bCs/>
                <w:noProof w:val="0"/>
                <w:sz w:val="26"/>
                <w:szCs w:val="26"/>
                <w:rtl/>
              </w:rPr>
              <w:t xml:space="preserve">                                                         </w:t>
            </w:r>
            <w:r w:rsidRPr="007976D9">
              <w:rPr>
                <w:rFonts w:ascii="Arial" w:hAnsi="Arial" w:hint="cs"/>
                <w:b/>
                <w:bCs/>
                <w:noProof w:val="0"/>
                <w:sz w:val="28"/>
                <w:szCs w:val="28"/>
                <w:rtl/>
              </w:rPr>
              <w:t xml:space="preserve">באמצעות ב"כ עוה"ד זהר פשה אלון ו/או </w:t>
            </w:r>
          </w:p>
          <w:p w:rsidR="007976D9" w:rsidRPr="007976D9" w:rsidRDefault="007976D9">
            <w:pPr>
              <w:rPr>
                <w:rFonts w:ascii="Arial" w:hAnsi="Arial"/>
                <w:b/>
                <w:bCs/>
                <w:noProof w:val="0"/>
                <w:sz w:val="28"/>
                <w:szCs w:val="28"/>
                <w:rtl/>
              </w:rPr>
            </w:pPr>
            <w:r w:rsidRPr="007976D9">
              <w:rPr>
                <w:rFonts w:ascii="Arial" w:hAnsi="Arial" w:hint="cs"/>
                <w:b/>
                <w:bCs/>
                <w:noProof w:val="0"/>
                <w:sz w:val="28"/>
                <w:szCs w:val="28"/>
                <w:rtl/>
              </w:rPr>
              <w:t xml:space="preserve">                        </w:t>
            </w:r>
            <w:r>
              <w:rPr>
                <w:rFonts w:ascii="Arial" w:hAnsi="Arial" w:hint="cs"/>
                <w:b/>
                <w:bCs/>
                <w:noProof w:val="0"/>
                <w:sz w:val="28"/>
                <w:szCs w:val="28"/>
                <w:rtl/>
              </w:rPr>
              <w:t xml:space="preserve">                            </w:t>
            </w:r>
            <w:r w:rsidRPr="007976D9">
              <w:rPr>
                <w:rFonts w:ascii="Arial" w:hAnsi="Arial" w:hint="cs"/>
                <w:b/>
                <w:bCs/>
                <w:noProof w:val="0"/>
                <w:sz w:val="28"/>
                <w:szCs w:val="28"/>
                <w:rtl/>
              </w:rPr>
              <w:t xml:space="preserve"> עוה"ד משה בן דורי</w:t>
            </w:r>
          </w:p>
          <w:p w:rsidR="002914D6" w:rsidRPr="007976D9" w:rsidRDefault="00011212">
            <w:pPr>
              <w:jc w:val="center"/>
              <w:rPr>
                <w:rFonts w:ascii="Arial" w:hAnsi="Arial"/>
                <w:b/>
                <w:bCs/>
                <w:noProof w:val="0"/>
                <w:sz w:val="28"/>
                <w:szCs w:val="28"/>
                <w:rtl/>
              </w:rPr>
            </w:pPr>
            <w:r w:rsidRPr="007976D9">
              <w:rPr>
                <w:rFonts w:ascii="Arial" w:hAnsi="Arial"/>
                <w:b/>
                <w:bCs/>
                <w:noProof w:val="0"/>
                <w:sz w:val="28"/>
                <w:szCs w:val="28"/>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CA741A">
            <w:pPr>
              <w:rPr>
                <w:rFonts w:ascii="Arial" w:hAnsi="Arial"/>
                <w:b/>
                <w:bCs/>
                <w:noProof w:val="0"/>
                <w:sz w:val="26"/>
                <w:szCs w:val="26"/>
              </w:rPr>
            </w:pPr>
            <w:sdt>
              <w:sdtPr>
                <w:rPr>
                  <w:rtl/>
                </w:rPr>
                <w:alias w:val="1184"/>
                <w:tag w:val="1184"/>
                <w:id w:val="386307046"/>
                <w:text w:multiLine="1"/>
              </w:sdtPr>
              <w:sdtEndPr/>
              <w:sdtContent>
                <w:r w:rsidR="00094813">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2914D6" w:rsidRDefault="007976D9">
            <w:pPr>
              <w:rPr>
                <w:b/>
                <w:bCs/>
                <w:noProof w:val="0"/>
                <w:sz w:val="26"/>
                <w:szCs w:val="26"/>
                <w:rtl/>
              </w:rPr>
            </w:pPr>
            <w:r>
              <w:rPr>
                <w:rFonts w:ascii="Arial" w:hAnsi="Arial" w:hint="cs"/>
                <w:b/>
                <w:bCs/>
                <w:noProof w:val="0"/>
                <w:sz w:val="26"/>
                <w:szCs w:val="26"/>
                <w:rtl/>
              </w:rPr>
              <w:t>אלמונים</w:t>
            </w:r>
          </w:p>
        </w:tc>
      </w:tr>
    </w:tbl>
    <w:p w:rsidR="002914D6" w:rsidRPr="007976D9" w:rsidRDefault="007976D9">
      <w:pPr>
        <w:rPr>
          <w:b/>
          <w:bCs/>
          <w:sz w:val="28"/>
          <w:szCs w:val="28"/>
        </w:rPr>
      </w:pPr>
      <w:r w:rsidRPr="007976D9">
        <w:rPr>
          <w:rFonts w:hint="cs"/>
          <w:b/>
          <w:bCs/>
          <w:rtl/>
        </w:rPr>
        <w:t xml:space="preserve">                                                             </w:t>
      </w:r>
      <w:r w:rsidRPr="007976D9">
        <w:rPr>
          <w:rFonts w:hint="cs"/>
          <w:b/>
          <w:bCs/>
          <w:sz w:val="28"/>
          <w:szCs w:val="28"/>
          <w:rtl/>
        </w:rPr>
        <w:t>עוה"ד ליהיא כהן דמבינסקי</w:t>
      </w: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rsidP="00D53FCD">
            <w:pPr>
              <w:bidi w:val="0"/>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Pr="00D53FCD" w:rsidRDefault="002914D6" w:rsidP="00D53FCD">
      <w:pPr>
        <w:spacing w:line="360" w:lineRule="auto"/>
        <w:jc w:val="both"/>
        <w:rPr>
          <w:rFonts w:ascii="David" w:hAnsi="David"/>
          <w:noProof w:val="0"/>
          <w:rtl/>
        </w:rPr>
      </w:pP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החלטתי זו עניינה תחולתו של חיסיון עורך דין- לקוח עת המדובר בצוואה הדדית</w:t>
      </w:r>
      <w:r>
        <w:rPr>
          <w:rFonts w:ascii="David" w:hAnsi="David" w:cs="David" w:hint="cs"/>
          <w:sz w:val="24"/>
          <w:szCs w:val="24"/>
          <w:rtl/>
        </w:rPr>
        <w:t>.</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התובעים 1-2 והנתבעים 2-5</w:t>
      </w:r>
      <w:r w:rsidR="007976D9">
        <w:rPr>
          <w:rFonts w:ascii="David" w:hAnsi="David" w:cs="David"/>
          <w:sz w:val="24"/>
          <w:szCs w:val="24"/>
          <w:rtl/>
        </w:rPr>
        <w:t xml:space="preserve"> הינם ילדיהם של המנוח </w:t>
      </w:r>
      <w:r w:rsidR="007976D9">
        <w:rPr>
          <w:rFonts w:ascii="David" w:hAnsi="David" w:cs="David" w:hint="cs"/>
          <w:sz w:val="24"/>
          <w:szCs w:val="24"/>
        </w:rPr>
        <w:t>XXXX</w:t>
      </w:r>
      <w:r w:rsidRPr="00D53FCD">
        <w:rPr>
          <w:rFonts w:ascii="David" w:hAnsi="David" w:cs="David"/>
          <w:sz w:val="24"/>
          <w:szCs w:val="24"/>
          <w:rtl/>
        </w:rPr>
        <w:t xml:space="preserve">ז"ל (להלן: </w:t>
      </w:r>
      <w:r w:rsidRPr="00D53FCD">
        <w:rPr>
          <w:rFonts w:ascii="David" w:hAnsi="David" w:cs="David"/>
          <w:b/>
          <w:bCs/>
          <w:sz w:val="24"/>
          <w:szCs w:val="24"/>
          <w:rtl/>
        </w:rPr>
        <w:t>"המנוח</w:t>
      </w:r>
      <w:r w:rsidRPr="00D53FCD">
        <w:rPr>
          <w:rFonts w:ascii="David" w:hAnsi="David" w:cs="David"/>
          <w:sz w:val="24"/>
          <w:szCs w:val="24"/>
          <w:rtl/>
        </w:rPr>
        <w:t>") ושל הנתבעת 1.</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ביום 17.9.2014 ערכו המנוח והנתבעת 1 צוואה ה</w:t>
      </w:r>
      <w:r>
        <w:rPr>
          <w:rFonts w:ascii="David" w:hAnsi="David" w:cs="David"/>
          <w:sz w:val="24"/>
          <w:szCs w:val="24"/>
          <w:rtl/>
        </w:rPr>
        <w:t>דדית בפני הנוטריון- עו"ד</w:t>
      </w:r>
      <w:r w:rsidR="007976D9">
        <w:rPr>
          <w:rFonts w:ascii="David" w:hAnsi="David" w:cs="David" w:hint="cs"/>
          <w:sz w:val="24"/>
          <w:szCs w:val="24"/>
          <w:rtl/>
        </w:rPr>
        <w:t xml:space="preserve"> </w:t>
      </w:r>
      <w:r w:rsidR="007976D9">
        <w:rPr>
          <w:rFonts w:ascii="David" w:hAnsi="David" w:cs="David" w:hint="cs"/>
          <w:sz w:val="24"/>
          <w:szCs w:val="24"/>
        </w:rPr>
        <w:t>YYY</w:t>
      </w:r>
      <w:r>
        <w:rPr>
          <w:rFonts w:ascii="David" w:hAnsi="David" w:cs="David" w:hint="cs"/>
          <w:sz w:val="24"/>
          <w:szCs w:val="24"/>
          <w:rtl/>
        </w:rPr>
        <w:t xml:space="preserve"> (להלן: "</w:t>
      </w:r>
      <w:r w:rsidRPr="00D53FCD">
        <w:rPr>
          <w:rFonts w:ascii="David" w:hAnsi="David" w:cs="David" w:hint="cs"/>
          <w:b/>
          <w:bCs/>
          <w:sz w:val="24"/>
          <w:szCs w:val="24"/>
          <w:rtl/>
        </w:rPr>
        <w:t>עורך הדין</w:t>
      </w:r>
      <w:r>
        <w:rPr>
          <w:rFonts w:ascii="David" w:hAnsi="David" w:cs="David" w:hint="cs"/>
          <w:sz w:val="24"/>
          <w:szCs w:val="24"/>
          <w:rtl/>
        </w:rPr>
        <w:t>")</w:t>
      </w:r>
      <w:r w:rsidRPr="00D53FCD">
        <w:rPr>
          <w:rFonts w:ascii="David" w:hAnsi="David" w:cs="David"/>
          <w:sz w:val="24"/>
          <w:szCs w:val="24"/>
          <w:rtl/>
        </w:rPr>
        <w:t>.</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המנוח הלך לעולמו ביום 19.1.2015 וביום 26.5.2015 ניתן צו קיום צוואה ביחס לצוואת המנוח (להלן: "</w:t>
      </w:r>
      <w:r w:rsidRPr="00D53FCD">
        <w:rPr>
          <w:rFonts w:ascii="David" w:hAnsi="David" w:cs="David"/>
          <w:b/>
          <w:bCs/>
          <w:sz w:val="24"/>
          <w:szCs w:val="24"/>
          <w:rtl/>
        </w:rPr>
        <w:t>הצוואה</w:t>
      </w:r>
      <w:r w:rsidRPr="00D53FCD">
        <w:rPr>
          <w:rFonts w:ascii="David" w:hAnsi="David" w:cs="David"/>
          <w:sz w:val="24"/>
          <w:szCs w:val="24"/>
          <w:rtl/>
        </w:rPr>
        <w:t>").</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 xml:space="preserve">בצוואה הורה המנוח, </w:t>
      </w:r>
      <w:r w:rsidRPr="00D53FCD">
        <w:rPr>
          <w:rFonts w:ascii="David" w:hAnsi="David" w:cs="David"/>
          <w:b/>
          <w:bCs/>
          <w:sz w:val="24"/>
          <w:szCs w:val="24"/>
          <w:rtl/>
        </w:rPr>
        <w:t>בסעיף 4,</w:t>
      </w:r>
      <w:r w:rsidRPr="00D53FCD">
        <w:rPr>
          <w:rFonts w:ascii="David" w:hAnsi="David" w:cs="David"/>
          <w:sz w:val="24"/>
          <w:szCs w:val="24"/>
          <w:rtl/>
        </w:rPr>
        <w:t xml:space="preserve"> כי: </w:t>
      </w:r>
    </w:p>
    <w:p w:rsidR="00D53FCD" w:rsidRPr="00D53FCD" w:rsidRDefault="00D53FCD" w:rsidP="00D53FCD">
      <w:pPr>
        <w:pStyle w:val="ac"/>
        <w:spacing w:line="360" w:lineRule="auto"/>
        <w:rPr>
          <w:rFonts w:ascii="David" w:hAnsi="David" w:cs="David"/>
          <w:sz w:val="24"/>
          <w:szCs w:val="24"/>
        </w:rPr>
      </w:pPr>
      <w:r w:rsidRPr="00D53FCD">
        <w:rPr>
          <w:rFonts w:ascii="David" w:hAnsi="David" w:cs="David"/>
          <w:b/>
          <w:bCs/>
          <w:sz w:val="24"/>
          <w:szCs w:val="24"/>
          <w:rtl/>
        </w:rPr>
        <w:t>"הנני מורה כי ביום פטירתי יועברו מלוא זכויותיי ברכושי ללא יוצא מן הכלל וכן כל רכוש נוסף שיש לי ושיהיה לי ביום פטירתי בכל מקום שהוא ללא יוצא מן הכלל לבעלותה המליאה והיחידה של אשתי הטובה ו</w:t>
      </w:r>
      <w:r w:rsidR="007976D9">
        <w:rPr>
          <w:rFonts w:ascii="David" w:hAnsi="David" w:cs="David"/>
          <w:b/>
          <w:bCs/>
          <w:sz w:val="24"/>
          <w:szCs w:val="24"/>
          <w:rtl/>
        </w:rPr>
        <w:t>הנאמנה</w:t>
      </w:r>
      <w:r w:rsidR="007976D9">
        <w:rPr>
          <w:rFonts w:ascii="David" w:hAnsi="David" w:cs="David" w:hint="cs"/>
          <w:b/>
          <w:bCs/>
          <w:sz w:val="24"/>
          <w:szCs w:val="24"/>
        </w:rPr>
        <w:t>XXX</w:t>
      </w:r>
      <w:r w:rsidR="007976D9">
        <w:rPr>
          <w:rFonts w:ascii="David" w:hAnsi="David" w:cs="David"/>
          <w:b/>
          <w:bCs/>
          <w:sz w:val="24"/>
          <w:szCs w:val="24"/>
          <w:rtl/>
        </w:rPr>
        <w:t xml:space="preserve"> ת.ז. </w:t>
      </w:r>
      <w:r w:rsidR="007976D9">
        <w:rPr>
          <w:rFonts w:ascii="David" w:hAnsi="David" w:cs="David" w:hint="cs"/>
          <w:b/>
          <w:bCs/>
          <w:sz w:val="24"/>
          <w:szCs w:val="24"/>
          <w:rtl/>
        </w:rPr>
        <w:t>_________</w:t>
      </w:r>
      <w:r w:rsidRPr="00D53FCD">
        <w:rPr>
          <w:rFonts w:ascii="David" w:hAnsi="David" w:cs="David"/>
          <w:b/>
          <w:bCs/>
          <w:sz w:val="24"/>
          <w:szCs w:val="24"/>
          <w:rtl/>
        </w:rPr>
        <w:t>המתגוררת עימי</w:t>
      </w:r>
      <w:r w:rsidRPr="00D53FCD">
        <w:rPr>
          <w:rFonts w:ascii="David" w:hAnsi="David" w:cs="David"/>
          <w:sz w:val="24"/>
          <w:szCs w:val="24"/>
          <w:rtl/>
        </w:rPr>
        <w:t>".</w:t>
      </w:r>
    </w:p>
    <w:p w:rsidR="00D53FCD" w:rsidRPr="00D53FCD" w:rsidRDefault="00D53FCD" w:rsidP="00D53FCD">
      <w:pPr>
        <w:pStyle w:val="ac"/>
        <w:spacing w:line="360" w:lineRule="auto"/>
        <w:rPr>
          <w:rFonts w:ascii="David" w:hAnsi="David" w:cs="David"/>
          <w:sz w:val="24"/>
          <w:szCs w:val="24"/>
          <w:rtl/>
        </w:rPr>
      </w:pPr>
      <w:r w:rsidRPr="00D53FCD">
        <w:rPr>
          <w:rFonts w:ascii="David" w:hAnsi="David" w:cs="David"/>
          <w:b/>
          <w:bCs/>
          <w:sz w:val="24"/>
          <w:szCs w:val="24"/>
          <w:rtl/>
        </w:rPr>
        <w:t>בסעיף 6</w:t>
      </w:r>
      <w:r w:rsidRPr="00D53FCD">
        <w:rPr>
          <w:rFonts w:ascii="David" w:hAnsi="David" w:cs="David"/>
          <w:sz w:val="24"/>
          <w:szCs w:val="24"/>
          <w:rtl/>
        </w:rPr>
        <w:t xml:space="preserve"> לצוואה הורה המנוח כי: </w:t>
      </w:r>
    </w:p>
    <w:p w:rsidR="000F44F6" w:rsidRPr="000F44F6" w:rsidRDefault="007976D9" w:rsidP="000F44F6">
      <w:pPr>
        <w:pStyle w:val="ac"/>
        <w:spacing w:line="360" w:lineRule="auto"/>
        <w:rPr>
          <w:rFonts w:ascii="David" w:hAnsi="David" w:cs="David"/>
          <w:b/>
          <w:bCs/>
          <w:sz w:val="24"/>
          <w:szCs w:val="24"/>
          <w:rtl/>
        </w:rPr>
      </w:pPr>
      <w:r>
        <w:rPr>
          <w:rFonts w:ascii="David" w:hAnsi="David" w:cs="David"/>
          <w:b/>
          <w:bCs/>
          <w:sz w:val="24"/>
          <w:szCs w:val="24"/>
          <w:rtl/>
        </w:rPr>
        <w:t xml:space="preserve">"במידה וחו"ח אשתי </w:t>
      </w:r>
      <w:r>
        <w:rPr>
          <w:rFonts w:ascii="David" w:hAnsi="David" w:cs="David" w:hint="cs"/>
          <w:b/>
          <w:bCs/>
          <w:sz w:val="24"/>
          <w:szCs w:val="24"/>
        </w:rPr>
        <w:t xml:space="preserve">XXX </w:t>
      </w:r>
      <w:r w:rsidR="00D53FCD" w:rsidRPr="00D53FCD">
        <w:rPr>
          <w:rFonts w:ascii="David" w:hAnsi="David" w:cs="David"/>
          <w:b/>
          <w:bCs/>
          <w:sz w:val="24"/>
          <w:szCs w:val="24"/>
          <w:rtl/>
        </w:rPr>
        <w:t>לא תהיה בין החיים ביום מותי, אזי יחולק רכושי וינוהל כדלקמן...."</w:t>
      </w:r>
    </w:p>
    <w:p w:rsidR="00D53FCD" w:rsidRPr="007976D9" w:rsidRDefault="00D53FCD" w:rsidP="007976D9">
      <w:pPr>
        <w:pStyle w:val="ac"/>
        <w:numPr>
          <w:ilvl w:val="0"/>
          <w:numId w:val="1"/>
        </w:numPr>
        <w:spacing w:line="360" w:lineRule="auto"/>
        <w:rPr>
          <w:rFonts w:ascii="David" w:hAnsi="David" w:cs="David"/>
          <w:sz w:val="24"/>
          <w:szCs w:val="24"/>
        </w:rPr>
      </w:pPr>
      <w:r w:rsidRPr="00D53FCD">
        <w:rPr>
          <w:rFonts w:ascii="David" w:hAnsi="David" w:cs="David"/>
          <w:sz w:val="24"/>
          <w:szCs w:val="24"/>
          <w:rtl/>
        </w:rPr>
        <w:t>במסגרת התובענה שבתיק זה עותרים הת</w:t>
      </w:r>
      <w:r w:rsidR="00920BBB">
        <w:rPr>
          <w:rFonts w:ascii="David" w:hAnsi="David" w:cs="David"/>
          <w:sz w:val="24"/>
          <w:szCs w:val="24"/>
          <w:rtl/>
        </w:rPr>
        <w:t xml:space="preserve">ובעים למתן פסק דין הצהרתי, </w:t>
      </w:r>
      <w:r w:rsidR="00920BBB">
        <w:rPr>
          <w:rFonts w:ascii="David" w:hAnsi="David" w:cs="David" w:hint="cs"/>
          <w:sz w:val="24"/>
          <w:szCs w:val="24"/>
          <w:rtl/>
        </w:rPr>
        <w:t xml:space="preserve">ובו יוצהר כי </w:t>
      </w:r>
      <w:r w:rsidRPr="00D53FCD">
        <w:rPr>
          <w:rFonts w:ascii="David" w:hAnsi="David" w:cs="David"/>
          <w:sz w:val="24"/>
          <w:szCs w:val="24"/>
          <w:rtl/>
        </w:rPr>
        <w:t>צוואת המנוח כוללת הוראת "יורש אחר יורש" כאשר היורשת הראשונה הינה הנתבעת 1 והיורשים השניים הם ילדיהם</w:t>
      </w:r>
      <w:r w:rsidR="000F44F6">
        <w:rPr>
          <w:rFonts w:ascii="David" w:hAnsi="David" w:cs="David" w:hint="cs"/>
          <w:sz w:val="24"/>
          <w:szCs w:val="24"/>
          <w:rtl/>
        </w:rPr>
        <w:t>, כמפורט בסעיף 6 לצוואה,</w:t>
      </w:r>
      <w:r w:rsidRPr="00D53FCD">
        <w:rPr>
          <w:rFonts w:ascii="David" w:hAnsi="David" w:cs="David"/>
          <w:sz w:val="24"/>
          <w:szCs w:val="24"/>
          <w:rtl/>
        </w:rPr>
        <w:t xml:space="preserve"> וכי הנתבעת 1 מנועה מביצוע דיספוזיציה בנכסי המנוח.</w:t>
      </w:r>
    </w:p>
    <w:p w:rsidR="002E249E" w:rsidRPr="00101505" w:rsidRDefault="00920BBB" w:rsidP="00101505">
      <w:pPr>
        <w:pStyle w:val="ac"/>
        <w:numPr>
          <w:ilvl w:val="0"/>
          <w:numId w:val="1"/>
        </w:numPr>
        <w:spacing w:line="360" w:lineRule="auto"/>
        <w:rPr>
          <w:rFonts w:ascii="David" w:hAnsi="David" w:cs="David"/>
          <w:sz w:val="24"/>
          <w:szCs w:val="24"/>
          <w:rtl/>
        </w:rPr>
      </w:pPr>
      <w:r>
        <w:rPr>
          <w:rFonts w:ascii="David" w:hAnsi="David" w:cs="David"/>
          <w:sz w:val="24"/>
          <w:szCs w:val="24"/>
          <w:rtl/>
        </w:rPr>
        <w:t>ביום</w:t>
      </w:r>
      <w:r>
        <w:rPr>
          <w:rFonts w:ascii="David" w:hAnsi="David" w:cs="David" w:hint="cs"/>
          <w:sz w:val="24"/>
          <w:szCs w:val="24"/>
          <w:rtl/>
        </w:rPr>
        <w:t xml:space="preserve"> 23.11.2022</w:t>
      </w:r>
      <w:r>
        <w:rPr>
          <w:rFonts w:ascii="David" w:hAnsi="David" w:cs="David"/>
          <w:sz w:val="24"/>
          <w:szCs w:val="24"/>
          <w:rtl/>
        </w:rPr>
        <w:t xml:space="preserve"> </w:t>
      </w:r>
      <w:r w:rsidR="00D53FCD" w:rsidRPr="00D53FCD">
        <w:rPr>
          <w:rFonts w:ascii="David" w:hAnsi="David" w:cs="David"/>
          <w:sz w:val="24"/>
          <w:szCs w:val="24"/>
          <w:rtl/>
        </w:rPr>
        <w:t>הגישו התובעים</w:t>
      </w:r>
      <w:r>
        <w:rPr>
          <w:rFonts w:ascii="David" w:hAnsi="David" w:cs="David"/>
          <w:sz w:val="24"/>
          <w:szCs w:val="24"/>
          <w:rtl/>
        </w:rPr>
        <w:t xml:space="preserve"> בקשה לזימונו של עו</w:t>
      </w:r>
      <w:r>
        <w:rPr>
          <w:rFonts w:ascii="David" w:hAnsi="David" w:cs="David" w:hint="cs"/>
          <w:sz w:val="24"/>
          <w:szCs w:val="24"/>
          <w:rtl/>
        </w:rPr>
        <w:t>רך הדין</w:t>
      </w:r>
      <w:r w:rsidR="002E249E">
        <w:rPr>
          <w:rFonts w:ascii="David" w:hAnsi="David" w:cs="David" w:hint="cs"/>
          <w:sz w:val="24"/>
          <w:szCs w:val="24"/>
          <w:rtl/>
        </w:rPr>
        <w:t xml:space="preserve"> שערך את הצוואה כעד. כאשר בהחלטתי מאותו היום התרתי זימון העד.</w:t>
      </w:r>
    </w:p>
    <w:p w:rsidR="008F6484" w:rsidRPr="00101505" w:rsidRDefault="002E249E" w:rsidP="00101505">
      <w:pPr>
        <w:pStyle w:val="ac"/>
        <w:numPr>
          <w:ilvl w:val="0"/>
          <w:numId w:val="1"/>
        </w:numPr>
        <w:spacing w:line="360" w:lineRule="auto"/>
        <w:rPr>
          <w:rFonts w:ascii="David" w:hAnsi="David" w:cs="David"/>
          <w:sz w:val="24"/>
          <w:szCs w:val="24"/>
          <w:rtl/>
        </w:rPr>
      </w:pPr>
      <w:r>
        <w:rPr>
          <w:rFonts w:ascii="David" w:hAnsi="David" w:cs="David" w:hint="cs"/>
          <w:sz w:val="24"/>
          <w:szCs w:val="24"/>
          <w:rtl/>
        </w:rPr>
        <w:t xml:space="preserve">ב"כ הנתבעים הגישה, ביום 24.11.2022 </w:t>
      </w:r>
      <w:r w:rsidR="00101505">
        <w:rPr>
          <w:rFonts w:ascii="David" w:hAnsi="David" w:cs="David" w:hint="cs"/>
          <w:sz w:val="24"/>
          <w:szCs w:val="24"/>
          <w:rtl/>
        </w:rPr>
        <w:t xml:space="preserve">, </w:t>
      </w:r>
      <w:r>
        <w:rPr>
          <w:rFonts w:ascii="David" w:hAnsi="David" w:cs="David" w:hint="cs"/>
          <w:sz w:val="24"/>
          <w:szCs w:val="24"/>
          <w:rtl/>
        </w:rPr>
        <w:t>תגובה לזימון העד, תוך שהעלתה טענותיה לעניין חיסיון עורך דין- לקוח ולשאלת הרלוונטיות של עדות עורך הדין ל</w:t>
      </w:r>
      <w:r w:rsidR="001E165B">
        <w:rPr>
          <w:rFonts w:ascii="David" w:hAnsi="David" w:cs="David" w:hint="cs"/>
          <w:sz w:val="24"/>
          <w:szCs w:val="24"/>
          <w:rtl/>
        </w:rPr>
        <w:t>הליך.</w:t>
      </w:r>
    </w:p>
    <w:p w:rsidR="00101505" w:rsidRDefault="008F6484" w:rsidP="00101505">
      <w:pPr>
        <w:pStyle w:val="ac"/>
        <w:spacing w:line="360" w:lineRule="auto"/>
        <w:rPr>
          <w:rFonts w:ascii="David" w:hAnsi="David" w:cs="David"/>
          <w:sz w:val="24"/>
          <w:szCs w:val="24"/>
          <w:rtl/>
        </w:rPr>
      </w:pPr>
      <w:r>
        <w:rPr>
          <w:rFonts w:ascii="David" w:hAnsi="David" w:cs="David" w:hint="cs"/>
          <w:sz w:val="24"/>
          <w:szCs w:val="24"/>
          <w:rtl/>
        </w:rPr>
        <w:lastRenderedPageBreak/>
        <w:t>במסגרת תגובתה, הודיעה ב"כ הנתבעים כי הנתבעת 1 אינה מוותרת על זכות החיסיון.</w:t>
      </w:r>
    </w:p>
    <w:p w:rsidR="001E165B" w:rsidRPr="00101505" w:rsidRDefault="00101505" w:rsidP="00101505">
      <w:pPr>
        <w:pStyle w:val="ac"/>
        <w:spacing w:line="360" w:lineRule="auto"/>
        <w:rPr>
          <w:rFonts w:ascii="David" w:hAnsi="David" w:cs="David"/>
          <w:sz w:val="24"/>
          <w:szCs w:val="24"/>
          <w:rtl/>
        </w:rPr>
      </w:pPr>
      <w:r>
        <w:rPr>
          <w:rFonts w:ascii="David" w:hAnsi="David" w:cs="David" w:hint="cs"/>
          <w:sz w:val="24"/>
          <w:szCs w:val="24"/>
          <w:rtl/>
        </w:rPr>
        <w:t xml:space="preserve">עוד </w:t>
      </w:r>
      <w:r w:rsidR="001E165B" w:rsidRPr="00101505">
        <w:rPr>
          <w:rFonts w:ascii="David" w:hAnsi="David" w:cs="David" w:hint="cs"/>
          <w:sz w:val="24"/>
          <w:szCs w:val="24"/>
          <w:rtl/>
        </w:rPr>
        <w:t>עתרה ב"כ הנתבעים כי, ככל שהתובעים יעמדו על עדות עורך הדין, תונח תגובתה בפני עורך הדין טרם יענה לזימונו לעדות, לצורך מניעת הכשלתו בדבר החסיונות החלים עליו.</w:t>
      </w:r>
    </w:p>
    <w:p w:rsidR="00D53FCD" w:rsidRPr="001E165B" w:rsidRDefault="001E165B" w:rsidP="00101505">
      <w:pPr>
        <w:pStyle w:val="ac"/>
        <w:spacing w:line="360" w:lineRule="auto"/>
        <w:rPr>
          <w:rFonts w:ascii="David" w:hAnsi="David" w:cs="David"/>
          <w:sz w:val="24"/>
          <w:szCs w:val="24"/>
        </w:rPr>
      </w:pPr>
      <w:r>
        <w:rPr>
          <w:rFonts w:ascii="David" w:hAnsi="David" w:cs="David" w:hint="cs"/>
          <w:sz w:val="24"/>
          <w:szCs w:val="24"/>
          <w:rtl/>
        </w:rPr>
        <w:t>משלא הוגשה תשובת הנתבעים לתגובת התובעים, התרתי, בהחלטתי מיום 5.12.2022לב"כ הנתבעים להניח תגובתה מיום 24.11.2022 לפני עורך הדין.</w:t>
      </w:r>
    </w:p>
    <w:p w:rsidR="00D53FCD" w:rsidRDefault="00AD77F6" w:rsidP="008F6484">
      <w:pPr>
        <w:pStyle w:val="ac"/>
        <w:numPr>
          <w:ilvl w:val="0"/>
          <w:numId w:val="1"/>
        </w:numPr>
        <w:spacing w:line="360" w:lineRule="auto"/>
        <w:rPr>
          <w:rFonts w:ascii="David" w:hAnsi="David" w:cs="David"/>
          <w:sz w:val="24"/>
          <w:szCs w:val="24"/>
        </w:rPr>
      </w:pPr>
      <w:r>
        <w:rPr>
          <w:rFonts w:ascii="David" w:hAnsi="David" w:cs="David"/>
          <w:sz w:val="24"/>
          <w:szCs w:val="24"/>
          <w:rtl/>
        </w:rPr>
        <w:t xml:space="preserve">ביום </w:t>
      </w:r>
      <w:r w:rsidR="008F6484">
        <w:rPr>
          <w:rFonts w:ascii="David" w:hAnsi="David" w:cs="David" w:hint="cs"/>
          <w:sz w:val="24"/>
          <w:szCs w:val="24"/>
          <w:rtl/>
        </w:rPr>
        <w:t xml:space="preserve">3.1.2023 </w:t>
      </w:r>
      <w:r w:rsidR="00D53FCD" w:rsidRPr="00D53FCD">
        <w:rPr>
          <w:rFonts w:ascii="David" w:hAnsi="David" w:cs="David"/>
          <w:sz w:val="24"/>
          <w:szCs w:val="24"/>
          <w:rtl/>
        </w:rPr>
        <w:t xml:space="preserve">החלה שמיעת הראיות בתיק, כאשר טרם החלה שמיעת עדותו של </w:t>
      </w:r>
      <w:r w:rsidR="008F6484">
        <w:rPr>
          <w:rFonts w:ascii="David" w:hAnsi="David" w:cs="David" w:hint="cs"/>
          <w:sz w:val="24"/>
          <w:szCs w:val="24"/>
          <w:rtl/>
        </w:rPr>
        <w:t xml:space="preserve">עורך הדין, הלה </w:t>
      </w:r>
      <w:r w:rsidR="00D53FCD" w:rsidRPr="00D53FCD">
        <w:rPr>
          <w:rFonts w:ascii="David" w:hAnsi="David" w:cs="David"/>
          <w:sz w:val="24"/>
          <w:szCs w:val="24"/>
          <w:rtl/>
        </w:rPr>
        <w:t>מסר כי מבקש</w:t>
      </w:r>
      <w:r w:rsidR="008F6484">
        <w:rPr>
          <w:rFonts w:ascii="David" w:hAnsi="David" w:cs="David" w:hint="cs"/>
          <w:sz w:val="24"/>
          <w:szCs w:val="24"/>
          <w:rtl/>
        </w:rPr>
        <w:t>, טרם עדותו, הכרעה בסוגיית הסרת החיסיון, על מנת שלא להיות חשוף להליכים אתיים.</w:t>
      </w:r>
    </w:p>
    <w:p w:rsidR="008F6484" w:rsidRDefault="008F6484" w:rsidP="008F6484">
      <w:pPr>
        <w:pStyle w:val="ac"/>
        <w:spacing w:line="360" w:lineRule="auto"/>
        <w:rPr>
          <w:rFonts w:ascii="David" w:hAnsi="David" w:cs="David"/>
          <w:sz w:val="24"/>
          <w:szCs w:val="24"/>
          <w:rtl/>
        </w:rPr>
      </w:pPr>
      <w:r>
        <w:rPr>
          <w:rFonts w:ascii="David" w:hAnsi="David" w:cs="David" w:hint="cs"/>
          <w:sz w:val="24"/>
          <w:szCs w:val="24"/>
          <w:rtl/>
        </w:rPr>
        <w:t xml:space="preserve">לדברי עורך הדין: </w:t>
      </w:r>
      <w:r w:rsidRPr="008F6484">
        <w:rPr>
          <w:rFonts w:ascii="David" w:hAnsi="David" w:cs="David" w:hint="cs"/>
          <w:b/>
          <w:bCs/>
          <w:sz w:val="24"/>
          <w:szCs w:val="24"/>
          <w:rtl/>
        </w:rPr>
        <w:t>"</w:t>
      </w:r>
      <w:r w:rsidRPr="008F6484">
        <w:rPr>
          <w:rFonts w:ascii="David" w:hAnsi="David" w:cs="David"/>
          <w:b/>
          <w:bCs/>
          <w:sz w:val="24"/>
          <w:szCs w:val="24"/>
          <w:rtl/>
        </w:rPr>
        <w:t>השירות המשפטי שניתן ממני הוא היה בשם שני בני הזוג באופן משותף והעדות שלי תסביר את העניין הזה</w:t>
      </w:r>
      <w:r>
        <w:rPr>
          <w:rFonts w:ascii="David" w:hAnsi="David" w:cs="David" w:hint="cs"/>
          <w:sz w:val="24"/>
          <w:szCs w:val="24"/>
          <w:rtl/>
        </w:rPr>
        <w:t>" (</w:t>
      </w:r>
      <w:r w:rsidRPr="008F6484">
        <w:rPr>
          <w:rFonts w:ascii="David" w:hAnsi="David" w:cs="David" w:hint="cs"/>
          <w:b/>
          <w:bCs/>
          <w:sz w:val="24"/>
          <w:szCs w:val="24"/>
          <w:rtl/>
        </w:rPr>
        <w:t>עמ' 7 לפרו' שורות 6-8).</w:t>
      </w:r>
    </w:p>
    <w:p w:rsidR="008F6484" w:rsidRPr="004507D5" w:rsidRDefault="008F6484" w:rsidP="004507D5">
      <w:pPr>
        <w:pStyle w:val="ac"/>
        <w:spacing w:line="360" w:lineRule="auto"/>
        <w:rPr>
          <w:rFonts w:ascii="David" w:hAnsi="David" w:cs="David"/>
          <w:sz w:val="24"/>
          <w:szCs w:val="24"/>
        </w:rPr>
      </w:pPr>
      <w:r>
        <w:rPr>
          <w:rFonts w:ascii="David" w:hAnsi="David" w:cs="David" w:hint="cs"/>
          <w:sz w:val="24"/>
          <w:szCs w:val="24"/>
          <w:rtl/>
        </w:rPr>
        <w:t>כאשר נשאל עורך הדין ע"י בית המשפט באם "</w:t>
      </w:r>
      <w:r w:rsidRPr="004507D5">
        <w:rPr>
          <w:rFonts w:ascii="David" w:hAnsi="David" w:cs="David"/>
          <w:b/>
          <w:bCs/>
          <w:sz w:val="24"/>
          <w:szCs w:val="24"/>
          <w:rtl/>
        </w:rPr>
        <w:t xml:space="preserve">כל התהליך של עשיית הצוואה היה כרוך גם בגברת וגם במנוח? </w:t>
      </w:r>
      <w:r w:rsidR="004507D5">
        <w:rPr>
          <w:rFonts w:ascii="David" w:hAnsi="David" w:cs="David" w:hint="cs"/>
          <w:sz w:val="24"/>
          <w:szCs w:val="24"/>
          <w:rtl/>
        </w:rPr>
        <w:t>", השיב</w:t>
      </w:r>
      <w:r w:rsidR="004507D5">
        <w:rPr>
          <w:rFonts w:ascii="David" w:hAnsi="David" w:cs="David" w:hint="cs"/>
          <w:sz w:val="24"/>
          <w:szCs w:val="24"/>
        </w:rPr>
        <w:t xml:space="preserve"> </w:t>
      </w:r>
      <w:r w:rsidR="004507D5" w:rsidRPr="004507D5">
        <w:rPr>
          <w:rFonts w:ascii="David" w:hAnsi="David" w:cs="David" w:hint="cs"/>
          <w:b/>
          <w:bCs/>
          <w:sz w:val="24"/>
          <w:szCs w:val="24"/>
        </w:rPr>
        <w:t>:</w:t>
      </w:r>
      <w:r w:rsidR="004507D5" w:rsidRPr="004507D5">
        <w:rPr>
          <w:rFonts w:ascii="David" w:hAnsi="David" w:cs="David" w:hint="cs"/>
          <w:b/>
          <w:bCs/>
          <w:sz w:val="24"/>
          <w:szCs w:val="24"/>
          <w:rtl/>
        </w:rPr>
        <w:t>"</w:t>
      </w:r>
      <w:r w:rsidRPr="004507D5">
        <w:rPr>
          <w:rFonts w:ascii="David" w:hAnsi="David" w:cs="David"/>
          <w:b/>
          <w:bCs/>
          <w:sz w:val="24"/>
          <w:szCs w:val="24"/>
          <w:rtl/>
        </w:rPr>
        <w:t>חד משמעית</w:t>
      </w:r>
      <w:r w:rsidR="004507D5" w:rsidRPr="004507D5">
        <w:rPr>
          <w:rFonts w:ascii="David" w:hAnsi="David" w:cs="David" w:hint="cs"/>
          <w:b/>
          <w:bCs/>
          <w:sz w:val="24"/>
          <w:szCs w:val="24"/>
          <w:rtl/>
        </w:rPr>
        <w:t>"</w:t>
      </w:r>
      <w:r w:rsidR="004507D5">
        <w:rPr>
          <w:rFonts w:ascii="David" w:hAnsi="David" w:cs="David" w:hint="cs"/>
          <w:sz w:val="24"/>
          <w:szCs w:val="24"/>
          <w:rtl/>
        </w:rPr>
        <w:t xml:space="preserve"> (עמ' 7 לפרו' שורות 10-12).</w:t>
      </w:r>
    </w:p>
    <w:p w:rsidR="00D53FCD" w:rsidRPr="00EA76A3" w:rsidRDefault="00C83577" w:rsidP="00EA76A3">
      <w:pPr>
        <w:pStyle w:val="ac"/>
        <w:numPr>
          <w:ilvl w:val="0"/>
          <w:numId w:val="1"/>
        </w:numPr>
        <w:spacing w:line="360" w:lineRule="auto"/>
        <w:rPr>
          <w:rFonts w:ascii="David" w:hAnsi="David" w:cs="David"/>
          <w:sz w:val="24"/>
          <w:szCs w:val="24"/>
        </w:rPr>
      </w:pPr>
      <w:r>
        <w:rPr>
          <w:rFonts w:ascii="David" w:hAnsi="David" w:cs="David" w:hint="cs"/>
          <w:sz w:val="24"/>
          <w:szCs w:val="24"/>
          <w:rtl/>
        </w:rPr>
        <w:t>לאור המחלוקות בין הצדדים בסוגיית הסרת החיסיון, נדחה מועד שמיעת עדותו של עורך הדין, תוך ש</w:t>
      </w:r>
      <w:r w:rsidR="00D53FCD" w:rsidRPr="00C83577">
        <w:rPr>
          <w:rFonts w:ascii="David" w:hAnsi="David" w:cs="David"/>
          <w:sz w:val="24"/>
          <w:szCs w:val="24"/>
          <w:rtl/>
        </w:rPr>
        <w:t>אפשרתי לצדדים להגיש טיעונים בכתב בסוגיית הסרת החיסיון.</w:t>
      </w:r>
    </w:p>
    <w:p w:rsidR="00D53FCD" w:rsidRPr="00EA76A3" w:rsidRDefault="00D53FCD" w:rsidP="00EA76A3">
      <w:pPr>
        <w:pStyle w:val="ac"/>
        <w:numPr>
          <w:ilvl w:val="0"/>
          <w:numId w:val="1"/>
        </w:numPr>
        <w:spacing w:line="360" w:lineRule="auto"/>
        <w:rPr>
          <w:rFonts w:ascii="David" w:hAnsi="David" w:cs="David"/>
          <w:sz w:val="24"/>
          <w:szCs w:val="24"/>
        </w:rPr>
      </w:pPr>
      <w:r w:rsidRPr="00D53FCD">
        <w:rPr>
          <w:rFonts w:ascii="David" w:hAnsi="David" w:cs="David"/>
          <w:sz w:val="24"/>
          <w:szCs w:val="24"/>
          <w:rtl/>
        </w:rPr>
        <w:t>לטענת התובעים</w:t>
      </w:r>
      <w:r w:rsidR="00AD77F6">
        <w:rPr>
          <w:rFonts w:ascii="David" w:hAnsi="David" w:cs="David" w:hint="cs"/>
          <w:sz w:val="24"/>
          <w:szCs w:val="24"/>
          <w:rtl/>
        </w:rPr>
        <w:t>,</w:t>
      </w:r>
      <w:r w:rsidRPr="00D53FCD">
        <w:rPr>
          <w:rFonts w:ascii="David" w:hAnsi="David" w:cs="David"/>
          <w:sz w:val="24"/>
          <w:szCs w:val="24"/>
          <w:rtl/>
        </w:rPr>
        <w:t xml:space="preserve"> יש לדחות טענת הנתבעים בדבר תחולתו של חיסיון עו"ד- לקוח בנסיבות בהן הנתבעים עושים שימוש לרעה, בחוסר תום לב מובהק ובוטה, בטענת החיסיון בניסיון למנוע את חקר האמת באמצעות שמיע</w:t>
      </w:r>
      <w:r w:rsidR="00AD77F6">
        <w:rPr>
          <w:rFonts w:ascii="David" w:hAnsi="David" w:cs="David" w:hint="cs"/>
          <w:sz w:val="24"/>
          <w:szCs w:val="24"/>
          <w:rtl/>
        </w:rPr>
        <w:t>ת</w:t>
      </w:r>
      <w:r w:rsidRPr="00D53FCD">
        <w:rPr>
          <w:rFonts w:ascii="David" w:hAnsi="David" w:cs="David"/>
          <w:sz w:val="24"/>
          <w:szCs w:val="24"/>
          <w:rtl/>
        </w:rPr>
        <w:t xml:space="preserve"> העדות החיונית, ה</w:t>
      </w:r>
      <w:r w:rsidR="00AD77F6">
        <w:rPr>
          <w:rFonts w:ascii="David" w:hAnsi="David" w:cs="David"/>
          <w:sz w:val="24"/>
          <w:szCs w:val="24"/>
          <w:rtl/>
        </w:rPr>
        <w:t xml:space="preserve">אובייקטיבית והמהימנה היחידה, </w:t>
      </w:r>
      <w:r w:rsidR="00AD77F6">
        <w:rPr>
          <w:rFonts w:ascii="David" w:hAnsi="David" w:cs="David" w:hint="cs"/>
          <w:sz w:val="24"/>
          <w:szCs w:val="24"/>
          <w:rtl/>
        </w:rPr>
        <w:t>אשר יש</w:t>
      </w:r>
      <w:r w:rsidRPr="00D53FCD">
        <w:rPr>
          <w:rFonts w:ascii="David" w:hAnsi="David" w:cs="David"/>
          <w:sz w:val="24"/>
          <w:szCs w:val="24"/>
          <w:rtl/>
        </w:rPr>
        <w:t xml:space="preserve"> בה</w:t>
      </w:r>
      <w:r w:rsidR="00AD77F6">
        <w:rPr>
          <w:rFonts w:ascii="David" w:hAnsi="David" w:cs="David" w:hint="cs"/>
          <w:sz w:val="24"/>
          <w:szCs w:val="24"/>
          <w:rtl/>
        </w:rPr>
        <w:t xml:space="preserve"> כדי</w:t>
      </w:r>
      <w:r w:rsidRPr="00D53FCD">
        <w:rPr>
          <w:rFonts w:ascii="David" w:hAnsi="David" w:cs="David"/>
          <w:sz w:val="24"/>
          <w:szCs w:val="24"/>
          <w:rtl/>
        </w:rPr>
        <w:t xml:space="preserve"> לשפוך אור על רצונו ואומד דעתו של המצווה.</w:t>
      </w:r>
    </w:p>
    <w:p w:rsidR="00D53FCD" w:rsidRPr="00EA76A3" w:rsidRDefault="00D53FCD" w:rsidP="00EA76A3">
      <w:pPr>
        <w:pStyle w:val="ac"/>
        <w:spacing w:line="360" w:lineRule="auto"/>
        <w:rPr>
          <w:rFonts w:ascii="David" w:hAnsi="David" w:cs="David"/>
          <w:sz w:val="24"/>
          <w:szCs w:val="24"/>
        </w:rPr>
      </w:pPr>
      <w:r w:rsidRPr="00D53FCD">
        <w:rPr>
          <w:rFonts w:ascii="David" w:hAnsi="David" w:cs="David"/>
          <w:sz w:val="24"/>
          <w:szCs w:val="24"/>
          <w:rtl/>
        </w:rPr>
        <w:t>מוסיפים וטוענים התובעים כי בעת פטירתו של הלקוח עוברת זכות החיסיון ליורשיו, אשר במקרה דנן, לטענת התובעים, ה</w:t>
      </w:r>
      <w:r w:rsidR="00AD77F6">
        <w:rPr>
          <w:rFonts w:ascii="David" w:hAnsi="David" w:cs="David" w:hint="cs"/>
          <w:sz w:val="24"/>
          <w:szCs w:val="24"/>
          <w:rtl/>
        </w:rPr>
        <w:t>תובעי</w:t>
      </w:r>
      <w:r w:rsidRPr="00D53FCD">
        <w:rPr>
          <w:rFonts w:ascii="David" w:hAnsi="David" w:cs="David"/>
          <w:sz w:val="24"/>
          <w:szCs w:val="24"/>
          <w:rtl/>
        </w:rPr>
        <w:t>ם</w:t>
      </w:r>
      <w:r w:rsidR="00AD77F6">
        <w:rPr>
          <w:rFonts w:ascii="David" w:hAnsi="David" w:cs="David" w:hint="cs"/>
          <w:sz w:val="24"/>
          <w:szCs w:val="24"/>
          <w:rtl/>
        </w:rPr>
        <w:t xml:space="preserve"> הינם </w:t>
      </w:r>
      <w:r w:rsidRPr="00D53FCD">
        <w:rPr>
          <w:rFonts w:ascii="David" w:hAnsi="David" w:cs="David"/>
          <w:sz w:val="24"/>
          <w:szCs w:val="24"/>
          <w:rtl/>
        </w:rPr>
        <w:t xml:space="preserve"> </w:t>
      </w:r>
      <w:r w:rsidR="00AD77F6">
        <w:rPr>
          <w:rFonts w:ascii="David" w:hAnsi="David" w:cs="David" w:hint="cs"/>
          <w:sz w:val="24"/>
          <w:szCs w:val="24"/>
          <w:rtl/>
        </w:rPr>
        <w:t xml:space="preserve">בגדר </w:t>
      </w:r>
      <w:r w:rsidRPr="00D53FCD">
        <w:rPr>
          <w:rFonts w:ascii="David" w:hAnsi="David" w:cs="David"/>
          <w:sz w:val="24"/>
          <w:szCs w:val="24"/>
          <w:rtl/>
        </w:rPr>
        <w:t>היורשים.</w:t>
      </w:r>
    </w:p>
    <w:p w:rsidR="00D53FCD" w:rsidRPr="00D53FCD" w:rsidRDefault="00D53FCD" w:rsidP="00D53FCD">
      <w:pPr>
        <w:pStyle w:val="ac"/>
        <w:numPr>
          <w:ilvl w:val="0"/>
          <w:numId w:val="1"/>
        </w:numPr>
        <w:spacing w:line="360" w:lineRule="auto"/>
        <w:rPr>
          <w:rFonts w:ascii="David" w:hAnsi="David" w:cs="David"/>
          <w:sz w:val="24"/>
          <w:szCs w:val="24"/>
          <w:rtl/>
        </w:rPr>
      </w:pPr>
      <w:r w:rsidRPr="00D53FCD">
        <w:rPr>
          <w:rFonts w:ascii="David" w:hAnsi="David" w:cs="David"/>
          <w:sz w:val="24"/>
          <w:szCs w:val="24"/>
          <w:rtl/>
        </w:rPr>
        <w:t xml:space="preserve">הנתבעים, מנגד, טוענים כי לנתבעת 1 בעצמה זכות חיסיון, כאשר עוה"ד מסר ביוזמתו בדיון בבית המשפט כי השירות המשפטי ניתן על ידו בשם שני בני הזוג במשותף. </w:t>
      </w:r>
    </w:p>
    <w:p w:rsidR="00D53FCD" w:rsidRPr="00D53FCD" w:rsidRDefault="00D53FCD" w:rsidP="00D53FCD">
      <w:pPr>
        <w:pStyle w:val="ac"/>
        <w:spacing w:line="360" w:lineRule="auto"/>
        <w:rPr>
          <w:rFonts w:ascii="David" w:hAnsi="David" w:cs="David"/>
          <w:sz w:val="24"/>
          <w:szCs w:val="24"/>
        </w:rPr>
      </w:pPr>
      <w:r w:rsidRPr="00D53FCD">
        <w:rPr>
          <w:rFonts w:ascii="David" w:hAnsi="David" w:cs="David"/>
          <w:sz w:val="24"/>
          <w:szCs w:val="24"/>
          <w:rtl/>
        </w:rPr>
        <w:t>עוד טוענים הנתבעים כי לא ניתן לדון בצוואת אדם בעודו בחיים.</w:t>
      </w:r>
    </w:p>
    <w:p w:rsidR="00D53FCD" w:rsidRPr="00C83577" w:rsidRDefault="00D53FCD" w:rsidP="00C83577">
      <w:pPr>
        <w:pStyle w:val="ac"/>
        <w:spacing w:line="360" w:lineRule="auto"/>
        <w:rPr>
          <w:rFonts w:ascii="David" w:hAnsi="David" w:cs="David"/>
          <w:sz w:val="24"/>
          <w:szCs w:val="24"/>
          <w:rtl/>
        </w:rPr>
      </w:pPr>
      <w:r w:rsidRPr="00D53FCD">
        <w:rPr>
          <w:rFonts w:ascii="David" w:hAnsi="David" w:cs="David"/>
          <w:sz w:val="24"/>
          <w:szCs w:val="24"/>
          <w:rtl/>
        </w:rPr>
        <w:t>באשר למעמדם של התובעים לגבי ויתור על חיסיון המנוח, טוענים הנתבעים כי זכות החיסיון עוברת ליורשי המנוח, עת</w:t>
      </w:r>
      <w:r w:rsidR="00AD77F6">
        <w:rPr>
          <w:rFonts w:ascii="David" w:hAnsi="David" w:cs="David" w:hint="cs"/>
          <w:sz w:val="24"/>
          <w:szCs w:val="24"/>
          <w:rtl/>
        </w:rPr>
        <w:t>,</w:t>
      </w:r>
      <w:r w:rsidRPr="00D53FCD">
        <w:rPr>
          <w:rFonts w:ascii="David" w:hAnsi="David" w:cs="David"/>
          <w:sz w:val="24"/>
          <w:szCs w:val="24"/>
          <w:rtl/>
        </w:rPr>
        <w:t xml:space="preserve"> במקרה דנן, היורשת היחידה הינה הנתבעת 1. ולכן, אין לתובעים זכות לוותר על טענת החיסיון של המנוח.</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 xml:space="preserve">חיסיון ראיות במסגרת יחסי עורך דין – לקוח קבוע </w:t>
      </w:r>
      <w:r w:rsidRPr="00D53FCD">
        <w:rPr>
          <w:rFonts w:ascii="David" w:hAnsi="David" w:cs="David"/>
          <w:b/>
          <w:bCs/>
          <w:sz w:val="24"/>
          <w:szCs w:val="24"/>
          <w:rtl/>
        </w:rPr>
        <w:t>בסעיף 48(א) לפקודת הראיות [נוסח חדש] התשל"א- 1971,</w:t>
      </w:r>
      <w:r w:rsidRPr="00D53FCD">
        <w:rPr>
          <w:rFonts w:ascii="David" w:hAnsi="David" w:cs="David"/>
          <w:sz w:val="24"/>
          <w:szCs w:val="24"/>
          <w:rtl/>
        </w:rPr>
        <w:t xml:space="preserve"> הקובע כי:</w:t>
      </w:r>
    </w:p>
    <w:p w:rsidR="00D53FCD" w:rsidRPr="00D53FCD" w:rsidRDefault="00D53FCD" w:rsidP="00D53FCD">
      <w:pPr>
        <w:pStyle w:val="ac"/>
        <w:spacing w:line="360" w:lineRule="auto"/>
        <w:rPr>
          <w:rFonts w:ascii="David" w:hAnsi="David" w:cs="David"/>
          <w:sz w:val="24"/>
          <w:szCs w:val="24"/>
        </w:rPr>
      </w:pPr>
      <w:r w:rsidRPr="00D53FCD">
        <w:rPr>
          <w:rFonts w:ascii="David" w:hAnsi="David" w:cs="David"/>
          <w:sz w:val="24"/>
          <w:szCs w:val="24"/>
          <w:rtl/>
        </w:rPr>
        <w:t xml:space="preserve"> "</w:t>
      </w:r>
      <w:r w:rsidRPr="00D53FCD">
        <w:rPr>
          <w:rFonts w:ascii="David" w:hAnsi="David" w:cs="David"/>
          <w:b/>
          <w:bCs/>
          <w:sz w:val="24"/>
          <w:szCs w:val="24"/>
          <w:rtl/>
        </w:rPr>
        <w:t>דברים  ומסמכים שהוחלפו בין עורך דין לבין לקוחו או לבין אדם אחר מטעם הלקוח ויש להם קשר עניני לשירות המקצועי שניתן על ידי עורך הדין ללקוח, אין עורך הדין חייב למסרם כראיה,  אלא אם ויתר הלקוח על החיסיון.</w:t>
      </w:r>
    </w:p>
    <w:p w:rsidR="00D53FCD" w:rsidRPr="00D53FCD" w:rsidRDefault="00D53FCD" w:rsidP="00D53FCD">
      <w:pPr>
        <w:pStyle w:val="ac"/>
        <w:spacing w:line="360" w:lineRule="auto"/>
        <w:rPr>
          <w:rFonts w:ascii="David" w:hAnsi="David" w:cs="David"/>
          <w:b/>
          <w:bCs/>
          <w:sz w:val="24"/>
          <w:szCs w:val="24"/>
          <w:rtl/>
        </w:rPr>
      </w:pPr>
      <w:r w:rsidRPr="00D53FCD">
        <w:rPr>
          <w:rFonts w:ascii="David" w:hAnsi="David" w:cs="David"/>
          <w:sz w:val="24"/>
          <w:szCs w:val="24"/>
          <w:rtl/>
        </w:rPr>
        <w:t xml:space="preserve">הוראה דומה קבועה </w:t>
      </w:r>
      <w:r w:rsidRPr="00AD77F6">
        <w:rPr>
          <w:rFonts w:ascii="David" w:hAnsi="David" w:cs="David"/>
          <w:b/>
          <w:bCs/>
          <w:sz w:val="24"/>
          <w:szCs w:val="24"/>
          <w:rtl/>
        </w:rPr>
        <w:t>בסעיף 90 לחוק לשכת עורכי הדין, התשכ"א-1961,</w:t>
      </w:r>
      <w:r w:rsidRPr="00D53FCD">
        <w:rPr>
          <w:rFonts w:ascii="David" w:hAnsi="David" w:cs="David"/>
          <w:sz w:val="24"/>
          <w:szCs w:val="24"/>
          <w:rtl/>
        </w:rPr>
        <w:t xml:space="preserve"> שם נקבע איסור על עורך הדין לגלות "</w:t>
      </w:r>
      <w:r w:rsidRPr="00D53FCD">
        <w:rPr>
          <w:rFonts w:ascii="David" w:hAnsi="David" w:cs="David"/>
          <w:b/>
          <w:bCs/>
          <w:sz w:val="24"/>
          <w:szCs w:val="24"/>
          <w:rtl/>
        </w:rPr>
        <w:t>דברים ומסמכים שהוחלפו בין לקוח לבין עורך דין ויש להם קשר עניני לשירות המקצועי".</w:t>
      </w:r>
    </w:p>
    <w:p w:rsidR="00D53FCD" w:rsidRPr="00D53FCD" w:rsidRDefault="00D53FCD" w:rsidP="00D53FCD">
      <w:pPr>
        <w:pStyle w:val="ac"/>
        <w:spacing w:line="360" w:lineRule="auto"/>
        <w:rPr>
          <w:rFonts w:ascii="David" w:hAnsi="David" w:cs="David"/>
          <w:b/>
          <w:bCs/>
          <w:sz w:val="24"/>
          <w:szCs w:val="24"/>
          <w:rtl/>
        </w:rPr>
      </w:pPr>
      <w:r w:rsidRPr="00D53FCD">
        <w:rPr>
          <w:rFonts w:ascii="David" w:hAnsi="David" w:cs="David"/>
          <w:b/>
          <w:bCs/>
          <w:sz w:val="24"/>
          <w:szCs w:val="24"/>
          <w:rtl/>
        </w:rPr>
        <w:t>(</w:t>
      </w:r>
      <w:r w:rsidRPr="00D53FCD">
        <w:rPr>
          <w:rFonts w:ascii="David" w:hAnsi="David" w:cs="David"/>
          <w:sz w:val="24"/>
          <w:szCs w:val="24"/>
          <w:rtl/>
        </w:rPr>
        <w:t>כמו כן ר'</w:t>
      </w:r>
      <w:r w:rsidRPr="00D53FCD">
        <w:rPr>
          <w:rFonts w:ascii="David" w:hAnsi="David" w:cs="David"/>
          <w:b/>
          <w:bCs/>
          <w:sz w:val="24"/>
          <w:szCs w:val="24"/>
          <w:rtl/>
        </w:rPr>
        <w:t xml:space="preserve"> :כלל 19 לכללי לשכת עורכי הדין (אתיקה מקצועית), התשמ"ו-1986.)</w:t>
      </w:r>
    </w:p>
    <w:p w:rsidR="00D53FCD" w:rsidRPr="00AD77F6" w:rsidRDefault="00D53FCD" w:rsidP="00D53FCD">
      <w:pPr>
        <w:pStyle w:val="ac"/>
        <w:numPr>
          <w:ilvl w:val="0"/>
          <w:numId w:val="1"/>
        </w:numPr>
        <w:spacing w:line="360" w:lineRule="auto"/>
        <w:rPr>
          <w:rFonts w:ascii="David" w:hAnsi="David" w:cs="David"/>
          <w:b/>
          <w:bCs/>
          <w:sz w:val="24"/>
          <w:szCs w:val="24"/>
          <w:rtl/>
        </w:rPr>
      </w:pPr>
      <w:r w:rsidRPr="00D53FCD">
        <w:rPr>
          <w:rFonts w:ascii="David" w:hAnsi="David" w:cs="David"/>
          <w:sz w:val="24"/>
          <w:szCs w:val="24"/>
          <w:rtl/>
        </w:rPr>
        <w:lastRenderedPageBreak/>
        <w:t xml:space="preserve">זכות החיסיון של עורך דין- לקוח הינה זכות מוחלטת, אשר הלקוח בלבד יכול לוותר עליה ואין לבית המשפט סמכות להסירה (ר': </w:t>
      </w:r>
      <w:r w:rsidRPr="00AD77F6">
        <w:rPr>
          <w:rFonts w:ascii="David" w:hAnsi="David" w:cs="David"/>
          <w:b/>
          <w:bCs/>
          <w:sz w:val="24"/>
          <w:szCs w:val="24"/>
          <w:rtl/>
        </w:rPr>
        <w:t>רע"א 3694/06 חביב נ' הלה הנדסה ואדריכלות בע"מ (13.8.2006))</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 xml:space="preserve">במקרה דנן, לצורך הכרעה בשאלת חיסיון עורך דין- לקוח, יש להדרש לשתי סוגיות: </w:t>
      </w:r>
    </w:p>
    <w:p w:rsidR="00D53FCD" w:rsidRPr="00D53FCD" w:rsidRDefault="00D53FCD" w:rsidP="00AD77F6">
      <w:pPr>
        <w:pStyle w:val="ac"/>
        <w:spacing w:line="360" w:lineRule="auto"/>
        <w:rPr>
          <w:rFonts w:ascii="David" w:hAnsi="David" w:cs="David"/>
          <w:sz w:val="24"/>
          <w:szCs w:val="24"/>
          <w:rtl/>
        </w:rPr>
      </w:pPr>
      <w:r w:rsidRPr="00D53FCD">
        <w:rPr>
          <w:rFonts w:ascii="David" w:hAnsi="David" w:cs="David"/>
          <w:sz w:val="24"/>
          <w:szCs w:val="24"/>
          <w:rtl/>
        </w:rPr>
        <w:t>האחת, ויתור על זכות החיסיון בשם המנוח. והשניה, חיסיון</w:t>
      </w:r>
      <w:r w:rsidR="000F44F6">
        <w:rPr>
          <w:rFonts w:ascii="David" w:hAnsi="David" w:cs="David" w:hint="cs"/>
          <w:sz w:val="24"/>
          <w:szCs w:val="24"/>
          <w:rtl/>
        </w:rPr>
        <w:t xml:space="preserve"> עורך דין- לקוח ביחס ל</w:t>
      </w:r>
      <w:r w:rsidRPr="00D53FCD">
        <w:rPr>
          <w:rFonts w:ascii="David" w:hAnsi="David" w:cs="David"/>
          <w:sz w:val="24"/>
          <w:szCs w:val="24"/>
          <w:rtl/>
        </w:rPr>
        <w:t>בן הזוג הנותר בחיים עת המדובר בצוואה הדדית.</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u w:val="single"/>
          <w:rtl/>
        </w:rPr>
        <w:t>ויתור זכות חיסיון של מנוח</w:t>
      </w:r>
      <w:r w:rsidRPr="00D53FCD">
        <w:rPr>
          <w:rFonts w:ascii="David" w:hAnsi="David" w:cs="David"/>
          <w:sz w:val="24"/>
          <w:szCs w:val="24"/>
          <w:rtl/>
        </w:rPr>
        <w:t>-</w:t>
      </w:r>
    </w:p>
    <w:p w:rsidR="00D53FCD" w:rsidRPr="00C83577" w:rsidRDefault="00D53FCD" w:rsidP="00C83577">
      <w:pPr>
        <w:pStyle w:val="ac"/>
        <w:spacing w:line="360" w:lineRule="auto"/>
        <w:rPr>
          <w:rFonts w:ascii="David" w:hAnsi="David" w:cs="David"/>
          <w:sz w:val="24"/>
          <w:szCs w:val="24"/>
        </w:rPr>
      </w:pPr>
      <w:r w:rsidRPr="00D53FCD">
        <w:rPr>
          <w:rFonts w:ascii="David" w:hAnsi="David" w:cs="David"/>
          <w:b/>
          <w:bCs/>
          <w:sz w:val="24"/>
          <w:szCs w:val="24"/>
          <w:rtl/>
        </w:rPr>
        <w:t xml:space="preserve">בתא (ת"א)   1088/87  רחמים תם נ' יחיא תם, פ"מ תשנ"ב(1) 66, </w:t>
      </w:r>
      <w:r w:rsidRPr="00D53FCD">
        <w:rPr>
          <w:rFonts w:ascii="David" w:hAnsi="David" w:cs="David"/>
          <w:sz w:val="24"/>
          <w:szCs w:val="24"/>
          <w:rtl/>
        </w:rPr>
        <w:t>נקבע ע"י בית המשפט כי לאחר פטירת הלקוח, עוברת הזכות לחיסיון ליורשיו, אשר הם בלבד רשאים לוותר על חיסיון זה.</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בנסיבות דנן, חלוקים הצדדים באשר לזהות יורשי המנוח. כאשר נראה כי זהו הסעד לו עותרים התובעים במסגר</w:t>
      </w:r>
      <w:r w:rsidR="00C83577">
        <w:rPr>
          <w:rFonts w:ascii="David" w:hAnsi="David" w:cs="David" w:hint="cs"/>
          <w:sz w:val="24"/>
          <w:szCs w:val="24"/>
          <w:rtl/>
        </w:rPr>
        <w:t>ת</w:t>
      </w:r>
      <w:r w:rsidRPr="00D53FCD">
        <w:rPr>
          <w:rFonts w:ascii="David" w:hAnsi="David" w:cs="David"/>
          <w:sz w:val="24"/>
          <w:szCs w:val="24"/>
          <w:rtl/>
        </w:rPr>
        <w:t xml:space="preserve"> כתב התביעה.</w:t>
      </w:r>
    </w:p>
    <w:p w:rsidR="00D53FCD" w:rsidRPr="00D53FCD" w:rsidRDefault="00D53FCD" w:rsidP="00101505">
      <w:pPr>
        <w:pStyle w:val="ac"/>
        <w:numPr>
          <w:ilvl w:val="0"/>
          <w:numId w:val="1"/>
        </w:numPr>
        <w:spacing w:line="360" w:lineRule="auto"/>
        <w:rPr>
          <w:rFonts w:ascii="David" w:hAnsi="David" w:cs="David"/>
          <w:sz w:val="24"/>
          <w:szCs w:val="24"/>
        </w:rPr>
      </w:pPr>
      <w:r w:rsidRPr="00D53FCD">
        <w:rPr>
          <w:rFonts w:ascii="David" w:hAnsi="David" w:cs="David"/>
          <w:sz w:val="24"/>
          <w:szCs w:val="24"/>
          <w:rtl/>
        </w:rPr>
        <w:t>מבלי לקבוע מסמרות כבר עתה, טרם מתן פסק הדין, אציין, במלוא הזהירות</w:t>
      </w:r>
      <w:r w:rsidR="00101505">
        <w:rPr>
          <w:rFonts w:ascii="David" w:hAnsi="David" w:cs="David" w:hint="cs"/>
          <w:sz w:val="24"/>
          <w:szCs w:val="24"/>
          <w:rtl/>
        </w:rPr>
        <w:t>,</w:t>
      </w:r>
      <w:r w:rsidRPr="00D53FCD">
        <w:rPr>
          <w:rFonts w:ascii="David" w:hAnsi="David" w:cs="David"/>
          <w:sz w:val="24"/>
          <w:szCs w:val="24"/>
          <w:rtl/>
        </w:rPr>
        <w:t xml:space="preserve"> כי, לכאורה, עפ"י לשון הצוואה, במסגרת</w:t>
      </w:r>
      <w:r w:rsidR="00C83577">
        <w:rPr>
          <w:rFonts w:ascii="David" w:hAnsi="David" w:cs="David" w:hint="cs"/>
          <w:sz w:val="24"/>
          <w:szCs w:val="24"/>
          <w:rtl/>
        </w:rPr>
        <w:t>ה</w:t>
      </w:r>
      <w:r w:rsidR="00C83577">
        <w:rPr>
          <w:rFonts w:ascii="David" w:hAnsi="David" w:cs="David"/>
          <w:sz w:val="24"/>
          <w:szCs w:val="24"/>
          <w:rtl/>
        </w:rPr>
        <w:t xml:space="preserve"> הורה המנוח כי עזבונ</w:t>
      </w:r>
      <w:r w:rsidR="00C83577">
        <w:rPr>
          <w:rFonts w:ascii="David" w:hAnsi="David" w:cs="David" w:hint="cs"/>
          <w:sz w:val="24"/>
          <w:szCs w:val="24"/>
          <w:rtl/>
        </w:rPr>
        <w:t>ו</w:t>
      </w:r>
      <w:r w:rsidRPr="00D53FCD">
        <w:rPr>
          <w:rFonts w:ascii="David" w:hAnsi="David" w:cs="David"/>
          <w:sz w:val="24"/>
          <w:szCs w:val="24"/>
          <w:rtl/>
        </w:rPr>
        <w:t xml:space="preserve"> יועבר "לבעלותה המליאה והיחידה</w:t>
      </w:r>
      <w:r w:rsidR="00C83577">
        <w:rPr>
          <w:rFonts w:ascii="David" w:hAnsi="David" w:cs="David"/>
          <w:sz w:val="24"/>
          <w:szCs w:val="24"/>
          <w:rtl/>
        </w:rPr>
        <w:t>" של הנתבעת 1</w:t>
      </w:r>
      <w:r w:rsidR="00C83577">
        <w:rPr>
          <w:rFonts w:ascii="David" w:hAnsi="David" w:cs="David" w:hint="cs"/>
          <w:sz w:val="24"/>
          <w:szCs w:val="24"/>
          <w:rtl/>
        </w:rPr>
        <w:t>,</w:t>
      </w:r>
      <w:r w:rsidR="00101505">
        <w:rPr>
          <w:rFonts w:ascii="David" w:hAnsi="David" w:cs="David" w:hint="cs"/>
          <w:sz w:val="24"/>
          <w:szCs w:val="24"/>
          <w:rtl/>
        </w:rPr>
        <w:t xml:space="preserve"> היורשת </w:t>
      </w:r>
      <w:r w:rsidR="00C83577">
        <w:rPr>
          <w:rFonts w:ascii="David" w:hAnsi="David" w:cs="David" w:hint="cs"/>
          <w:sz w:val="24"/>
          <w:szCs w:val="24"/>
          <w:rtl/>
        </w:rPr>
        <w:t>הינה הנתבעת 1.</w:t>
      </w:r>
    </w:p>
    <w:p w:rsidR="00D53FCD" w:rsidRPr="00D53FCD" w:rsidRDefault="00D53FCD" w:rsidP="00D53FCD">
      <w:pPr>
        <w:pStyle w:val="ac"/>
        <w:spacing w:line="360" w:lineRule="auto"/>
        <w:rPr>
          <w:rFonts w:ascii="David" w:hAnsi="David" w:cs="David"/>
          <w:sz w:val="24"/>
          <w:szCs w:val="24"/>
          <w:rtl/>
        </w:rPr>
      </w:pPr>
      <w:r w:rsidRPr="00D53FCD">
        <w:rPr>
          <w:rFonts w:ascii="David" w:hAnsi="David" w:cs="David"/>
          <w:sz w:val="24"/>
          <w:szCs w:val="24"/>
          <w:rtl/>
        </w:rPr>
        <w:t>לכן, לא ניתן להכריע, כבר עתה, כי התובעים הינם יורשי המנוח.</w:t>
      </w:r>
    </w:p>
    <w:p w:rsidR="00D53FCD" w:rsidRPr="00D53FCD" w:rsidRDefault="00D53FCD" w:rsidP="00D53FCD">
      <w:pPr>
        <w:pStyle w:val="ac"/>
        <w:spacing w:line="360" w:lineRule="auto"/>
        <w:rPr>
          <w:rFonts w:ascii="David" w:hAnsi="David" w:cs="David"/>
          <w:sz w:val="24"/>
          <w:szCs w:val="24"/>
          <w:rtl/>
        </w:rPr>
      </w:pPr>
      <w:r w:rsidRPr="00D53FCD">
        <w:rPr>
          <w:rFonts w:ascii="David" w:hAnsi="David" w:cs="David"/>
          <w:sz w:val="24"/>
          <w:szCs w:val="24"/>
          <w:rtl/>
        </w:rPr>
        <w:t xml:space="preserve">זאת ועוד, </w:t>
      </w:r>
      <w:r w:rsidR="00101505">
        <w:rPr>
          <w:rFonts w:ascii="David" w:hAnsi="David" w:cs="David" w:hint="cs"/>
          <w:sz w:val="24"/>
          <w:szCs w:val="24"/>
          <w:rtl/>
        </w:rPr>
        <w:t xml:space="preserve">אף לשיטת התובעים עצמם, </w:t>
      </w:r>
      <w:r w:rsidRPr="00D53FCD">
        <w:rPr>
          <w:rFonts w:ascii="David" w:hAnsi="David" w:cs="David"/>
          <w:sz w:val="24"/>
          <w:szCs w:val="24"/>
          <w:rtl/>
        </w:rPr>
        <w:t>מעמדה של הנתבעת 1 כיום הינו מעמד של "יורשת" בפועל . בעוד מעמדם של התובעים, לכל היותר וככל שתביעתם תתקבל, הינו מעמד של "יורשים פוטנציאלים".</w:t>
      </w:r>
    </w:p>
    <w:p w:rsidR="00D53FCD" w:rsidRPr="00D53FCD" w:rsidRDefault="00D53FCD" w:rsidP="00101505">
      <w:pPr>
        <w:pStyle w:val="ac"/>
        <w:spacing w:line="360" w:lineRule="auto"/>
        <w:rPr>
          <w:rFonts w:ascii="David" w:hAnsi="David" w:cs="David"/>
          <w:sz w:val="24"/>
          <w:szCs w:val="24"/>
          <w:rtl/>
        </w:rPr>
      </w:pPr>
      <w:r w:rsidRPr="00D53FCD">
        <w:rPr>
          <w:rFonts w:ascii="David" w:hAnsi="David" w:cs="David"/>
          <w:sz w:val="24"/>
          <w:szCs w:val="24"/>
          <w:rtl/>
        </w:rPr>
        <w:t>סבורני כי אין במעמד זה</w:t>
      </w:r>
      <w:r w:rsidR="00101505">
        <w:rPr>
          <w:rFonts w:ascii="David" w:hAnsi="David" w:cs="David" w:hint="cs"/>
          <w:sz w:val="24"/>
          <w:szCs w:val="24"/>
          <w:rtl/>
        </w:rPr>
        <w:t xml:space="preserve"> כ"יורש פוטנציאלי" עת קיים "יורש בפועל", </w:t>
      </w:r>
      <w:r w:rsidRPr="00D53FCD">
        <w:rPr>
          <w:rFonts w:ascii="David" w:hAnsi="David" w:cs="David"/>
          <w:sz w:val="24"/>
          <w:szCs w:val="24"/>
          <w:rtl/>
        </w:rPr>
        <w:t xml:space="preserve"> די כדי לבוא בנעלי המנוח</w:t>
      </w:r>
      <w:r w:rsidR="00101505">
        <w:rPr>
          <w:rFonts w:ascii="David" w:hAnsi="David" w:cs="David"/>
          <w:sz w:val="24"/>
          <w:szCs w:val="24"/>
          <w:rtl/>
        </w:rPr>
        <w:t xml:space="preserve"> בסוגיית ויתור על חיסיון</w:t>
      </w:r>
      <w:r w:rsidR="00101505">
        <w:rPr>
          <w:rFonts w:ascii="David" w:hAnsi="David" w:cs="David" w:hint="cs"/>
          <w:sz w:val="24"/>
          <w:szCs w:val="24"/>
          <w:rtl/>
        </w:rPr>
        <w:t>.</w:t>
      </w:r>
    </w:p>
    <w:p w:rsidR="00D53FCD" w:rsidRPr="00101505" w:rsidRDefault="00D53FCD" w:rsidP="00D53FCD">
      <w:pPr>
        <w:pStyle w:val="ac"/>
        <w:numPr>
          <w:ilvl w:val="0"/>
          <w:numId w:val="1"/>
        </w:numPr>
        <w:spacing w:line="360" w:lineRule="auto"/>
        <w:rPr>
          <w:rFonts w:ascii="David" w:hAnsi="David" w:cs="David"/>
          <w:b/>
          <w:bCs/>
          <w:sz w:val="24"/>
          <w:szCs w:val="24"/>
        </w:rPr>
      </w:pPr>
      <w:r w:rsidRPr="00D53FCD">
        <w:rPr>
          <w:rFonts w:ascii="David" w:hAnsi="David" w:cs="David"/>
          <w:sz w:val="24"/>
          <w:szCs w:val="24"/>
          <w:rtl/>
        </w:rPr>
        <w:t xml:space="preserve">ב"כ התובעים נסמכים בטיעוניהם, בין היתר, על החלטתו של חברי- </w:t>
      </w:r>
      <w:r w:rsidRPr="00101505">
        <w:rPr>
          <w:rFonts w:ascii="David" w:hAnsi="David" w:cs="David"/>
          <w:b/>
          <w:bCs/>
          <w:sz w:val="24"/>
          <w:szCs w:val="24"/>
          <w:rtl/>
        </w:rPr>
        <w:t>כב' השופט בר יוסף</w:t>
      </w:r>
      <w:r w:rsidRPr="00D53FCD">
        <w:rPr>
          <w:rFonts w:ascii="David" w:hAnsi="David" w:cs="David"/>
          <w:sz w:val="24"/>
          <w:szCs w:val="24"/>
          <w:rtl/>
        </w:rPr>
        <w:t xml:space="preserve"> במסגרת </w:t>
      </w:r>
      <w:r w:rsidRPr="00101505">
        <w:rPr>
          <w:rFonts w:ascii="David" w:hAnsi="David" w:cs="David"/>
          <w:b/>
          <w:bCs/>
          <w:sz w:val="24"/>
          <w:szCs w:val="24"/>
          <w:rtl/>
        </w:rPr>
        <w:t>תמ"ש 23322-05-20</w:t>
      </w:r>
      <w:r w:rsidR="00101505">
        <w:rPr>
          <w:rFonts w:ascii="David" w:hAnsi="David" w:cs="David" w:hint="cs"/>
          <w:sz w:val="24"/>
          <w:szCs w:val="24"/>
          <w:rtl/>
        </w:rPr>
        <w:t xml:space="preserve"> </w:t>
      </w:r>
      <w:r w:rsidRPr="00D53FCD">
        <w:rPr>
          <w:rFonts w:ascii="David" w:hAnsi="David" w:cs="David"/>
          <w:sz w:val="24"/>
          <w:szCs w:val="24"/>
          <w:rtl/>
        </w:rPr>
        <w:t xml:space="preserve">(מיום 12.8.2020), אשר אושרה ע"י ערכאת הערעור במסגרת תיק </w:t>
      </w:r>
      <w:r w:rsidRPr="00101505">
        <w:rPr>
          <w:rFonts w:ascii="David" w:hAnsi="David" w:cs="David"/>
          <w:b/>
          <w:bCs/>
          <w:sz w:val="24"/>
          <w:szCs w:val="24"/>
          <w:rtl/>
        </w:rPr>
        <w:t xml:space="preserve">רמ"ש 40045-08-20 </w:t>
      </w:r>
      <w:r w:rsidRPr="00D53FCD">
        <w:rPr>
          <w:rFonts w:ascii="David" w:hAnsi="David" w:cs="David"/>
          <w:sz w:val="24"/>
          <w:szCs w:val="24"/>
          <w:rtl/>
        </w:rPr>
        <w:t xml:space="preserve">וכן על החלטתה של </w:t>
      </w:r>
      <w:r w:rsidRPr="00101505">
        <w:rPr>
          <w:rFonts w:ascii="David" w:hAnsi="David" w:cs="David"/>
          <w:b/>
          <w:bCs/>
          <w:sz w:val="24"/>
          <w:szCs w:val="24"/>
          <w:rtl/>
        </w:rPr>
        <w:t>כב' השופטת גאולה לוין ברמ"ש (ב"ש) 42302-10-15 (מיום 27.1.2016).</w:t>
      </w:r>
    </w:p>
    <w:p w:rsidR="00D53FCD" w:rsidRPr="00D53FCD" w:rsidRDefault="00D53FCD" w:rsidP="00D53FCD">
      <w:pPr>
        <w:pStyle w:val="ac"/>
        <w:spacing w:line="360" w:lineRule="auto"/>
        <w:rPr>
          <w:rFonts w:ascii="David" w:hAnsi="David" w:cs="David"/>
          <w:sz w:val="24"/>
          <w:szCs w:val="24"/>
        </w:rPr>
      </w:pPr>
      <w:r w:rsidRPr="00D53FCD">
        <w:rPr>
          <w:rFonts w:ascii="David" w:hAnsi="David" w:cs="David"/>
          <w:sz w:val="24"/>
          <w:szCs w:val="24"/>
          <w:rtl/>
        </w:rPr>
        <w:t>אך</w:t>
      </w:r>
      <w:r w:rsidR="00101505">
        <w:rPr>
          <w:rFonts w:ascii="David" w:hAnsi="David" w:cs="David" w:hint="cs"/>
          <w:sz w:val="24"/>
          <w:szCs w:val="24"/>
          <w:rtl/>
        </w:rPr>
        <w:t>,</w:t>
      </w:r>
      <w:r w:rsidRPr="00D53FCD">
        <w:rPr>
          <w:rFonts w:ascii="David" w:hAnsi="David" w:cs="David"/>
          <w:sz w:val="24"/>
          <w:szCs w:val="24"/>
          <w:rtl/>
        </w:rPr>
        <w:t xml:space="preserve"> סבורני</w:t>
      </w:r>
      <w:r w:rsidR="00101505">
        <w:rPr>
          <w:rFonts w:ascii="David" w:hAnsi="David" w:cs="David" w:hint="cs"/>
          <w:sz w:val="24"/>
          <w:szCs w:val="24"/>
          <w:rtl/>
        </w:rPr>
        <w:t>,</w:t>
      </w:r>
      <w:r w:rsidRPr="00D53FCD">
        <w:rPr>
          <w:rFonts w:ascii="David" w:hAnsi="David" w:cs="David"/>
          <w:sz w:val="24"/>
          <w:szCs w:val="24"/>
          <w:rtl/>
        </w:rPr>
        <w:t xml:space="preserve"> כי נסיבות ההחלטות האמורות, העוסקות בזכות חיסיון למנוח במסגרת הליך התנגדות למתן צו קיום צוואה,  שונות מנסיבות ה</w:t>
      </w:r>
      <w:r w:rsidR="00101505">
        <w:rPr>
          <w:rFonts w:ascii="David" w:hAnsi="David" w:cs="David"/>
          <w:sz w:val="24"/>
          <w:szCs w:val="24"/>
          <w:rtl/>
        </w:rPr>
        <w:t>מקרה דנן, עת ניתן צו קיום צוואה</w:t>
      </w:r>
      <w:r w:rsidR="00101505">
        <w:rPr>
          <w:rFonts w:ascii="David" w:hAnsi="David" w:cs="David" w:hint="cs"/>
          <w:sz w:val="24"/>
          <w:szCs w:val="24"/>
          <w:rtl/>
        </w:rPr>
        <w:t xml:space="preserve">, הקובע זהות יורשי המנוח, </w:t>
      </w:r>
      <w:r w:rsidRPr="00D53FCD">
        <w:rPr>
          <w:rFonts w:ascii="David" w:hAnsi="David" w:cs="David"/>
          <w:sz w:val="24"/>
          <w:szCs w:val="24"/>
          <w:rtl/>
        </w:rPr>
        <w:t>והצד</w:t>
      </w:r>
      <w:r w:rsidR="000F44F6">
        <w:rPr>
          <w:rFonts w:ascii="David" w:hAnsi="David" w:cs="David"/>
          <w:sz w:val="24"/>
          <w:szCs w:val="24"/>
          <w:rtl/>
        </w:rPr>
        <w:t xml:space="preserve">דים חולקים </w:t>
      </w:r>
      <w:r w:rsidR="000F44F6">
        <w:rPr>
          <w:rFonts w:ascii="David" w:hAnsi="David" w:cs="David" w:hint="cs"/>
          <w:sz w:val="24"/>
          <w:szCs w:val="24"/>
          <w:rtl/>
        </w:rPr>
        <w:t xml:space="preserve">בדבר </w:t>
      </w:r>
      <w:r w:rsidR="00101505">
        <w:rPr>
          <w:rFonts w:ascii="David" w:hAnsi="David" w:cs="David"/>
          <w:sz w:val="24"/>
          <w:szCs w:val="24"/>
          <w:rtl/>
        </w:rPr>
        <w:t>פרשנותה של הצוואה</w:t>
      </w:r>
      <w:r w:rsidR="00101505">
        <w:rPr>
          <w:rFonts w:ascii="David" w:hAnsi="David" w:cs="David" w:hint="cs"/>
          <w:sz w:val="24"/>
          <w:szCs w:val="24"/>
          <w:rtl/>
        </w:rPr>
        <w:t>.</w:t>
      </w:r>
    </w:p>
    <w:p w:rsidR="00D53FCD" w:rsidRPr="00D53FCD" w:rsidRDefault="00D53FCD" w:rsidP="00D53FCD">
      <w:pPr>
        <w:pStyle w:val="ac"/>
        <w:numPr>
          <w:ilvl w:val="0"/>
          <w:numId w:val="1"/>
        </w:numPr>
        <w:spacing w:line="360" w:lineRule="auto"/>
        <w:rPr>
          <w:rFonts w:ascii="David" w:hAnsi="David" w:cs="David"/>
          <w:sz w:val="24"/>
          <w:szCs w:val="24"/>
          <w:u w:val="single"/>
        </w:rPr>
      </w:pPr>
      <w:r w:rsidRPr="00D53FCD">
        <w:rPr>
          <w:rFonts w:ascii="David" w:hAnsi="David" w:cs="David"/>
          <w:sz w:val="24"/>
          <w:szCs w:val="24"/>
          <w:u w:val="single"/>
          <w:rtl/>
        </w:rPr>
        <w:t>זכות לחיסיון של בן הזוג הנותר בחיים במסגרת עריכת צוואה הדדית:</w:t>
      </w:r>
    </w:p>
    <w:p w:rsidR="00D53FCD" w:rsidRPr="0042191A" w:rsidRDefault="00D53FCD" w:rsidP="0042191A">
      <w:pPr>
        <w:pStyle w:val="ac"/>
        <w:spacing w:line="360" w:lineRule="auto"/>
        <w:rPr>
          <w:rFonts w:ascii="David" w:hAnsi="David" w:cs="David"/>
          <w:sz w:val="24"/>
          <w:szCs w:val="24"/>
          <w:rtl/>
        </w:rPr>
      </w:pPr>
      <w:r w:rsidRPr="00D53FCD">
        <w:rPr>
          <w:rFonts w:ascii="David" w:hAnsi="David" w:cs="David"/>
          <w:sz w:val="24"/>
          <w:szCs w:val="24"/>
          <w:rtl/>
        </w:rPr>
        <w:t xml:space="preserve">כאמור, עוה"ד הודיע כי </w:t>
      </w:r>
      <w:r w:rsidR="00101505">
        <w:rPr>
          <w:rFonts w:ascii="David" w:hAnsi="David" w:cs="David"/>
          <w:sz w:val="24"/>
          <w:szCs w:val="24"/>
          <w:rtl/>
        </w:rPr>
        <w:t xml:space="preserve">השירות המשפטי שניתן </w:t>
      </w:r>
      <w:r w:rsidR="00101505">
        <w:rPr>
          <w:rFonts w:ascii="David" w:hAnsi="David" w:cs="David" w:hint="cs"/>
          <w:sz w:val="24"/>
          <w:szCs w:val="24"/>
          <w:rtl/>
        </w:rPr>
        <w:t>על ידו</w:t>
      </w:r>
      <w:r w:rsidR="00101505">
        <w:rPr>
          <w:rFonts w:ascii="David" w:hAnsi="David" w:cs="David"/>
          <w:sz w:val="24"/>
          <w:szCs w:val="24"/>
          <w:rtl/>
        </w:rPr>
        <w:t xml:space="preserve"> הוא היה בשם שני בני הזוג ב</w:t>
      </w:r>
      <w:r w:rsidR="00101505" w:rsidRPr="00101505">
        <w:rPr>
          <w:rFonts w:ascii="David" w:hAnsi="David" w:cs="David"/>
          <w:sz w:val="24"/>
          <w:szCs w:val="24"/>
          <w:rtl/>
        </w:rPr>
        <w:t>משותף</w:t>
      </w:r>
      <w:r w:rsidR="0042191A">
        <w:rPr>
          <w:rFonts w:ascii="David" w:hAnsi="David" w:cs="David" w:hint="cs"/>
          <w:sz w:val="24"/>
          <w:szCs w:val="24"/>
          <w:rtl/>
        </w:rPr>
        <w:t>.</w:t>
      </w:r>
    </w:p>
    <w:p w:rsidR="00D53FCD" w:rsidRPr="00D53FCD" w:rsidRDefault="00D53FCD" w:rsidP="00D53FCD">
      <w:pPr>
        <w:pStyle w:val="ac"/>
        <w:numPr>
          <w:ilvl w:val="0"/>
          <w:numId w:val="1"/>
        </w:numPr>
        <w:spacing w:line="360" w:lineRule="auto"/>
        <w:rPr>
          <w:rFonts w:ascii="David" w:hAnsi="David" w:cs="David"/>
          <w:sz w:val="24"/>
          <w:szCs w:val="24"/>
          <w:rtl/>
        </w:rPr>
      </w:pPr>
      <w:r w:rsidRPr="00D53FCD">
        <w:rPr>
          <w:rFonts w:ascii="David" w:hAnsi="David" w:cs="David"/>
          <w:sz w:val="24"/>
          <w:szCs w:val="24"/>
          <w:rtl/>
        </w:rPr>
        <w:t>הנתבעת 1 הודיעה מצידה כי אינה מוותרת על זכות החיסיון.</w:t>
      </w:r>
    </w:p>
    <w:p w:rsid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הנתבעת 1 , אם כן, מצויה ב"שני כובעים" בכל הנוגע לחיסיון עו"ד- לקוח. הן כיורשת המנוח והן כלקוח. על כן, זכות החיסיון שלה כפולה, הן בשם המנוח והן בשמה.</w:t>
      </w:r>
    </w:p>
    <w:p w:rsidR="003E1C45" w:rsidRDefault="003E1C45" w:rsidP="00D53FCD">
      <w:pPr>
        <w:pStyle w:val="ac"/>
        <w:numPr>
          <w:ilvl w:val="0"/>
          <w:numId w:val="1"/>
        </w:numPr>
        <w:spacing w:line="360" w:lineRule="auto"/>
        <w:rPr>
          <w:rFonts w:ascii="David" w:hAnsi="David" w:cs="David"/>
          <w:sz w:val="24"/>
          <w:szCs w:val="24"/>
        </w:rPr>
      </w:pPr>
      <w:r>
        <w:rPr>
          <w:rFonts w:ascii="David" w:hAnsi="David" w:cs="David" w:hint="cs"/>
          <w:sz w:val="24"/>
          <w:szCs w:val="24"/>
          <w:rtl/>
        </w:rPr>
        <w:lastRenderedPageBreak/>
        <w:t>אמנם עת עורך הדין מייצג במשותף שני לקוחות, אזי ההתקשרות עם כל אחד מהלקוחות באותו ענין אינה חסויה כלפי הלקוח השני (ר': ע"א 442/81 גרומט נ' סרוסי פ"ד ל"ו(1)221), אך, כאמור, במקרה דנן, שני הלקוחות מתמזגים. שכן, הנתבעת 1 הינה יורשת המנוח.</w:t>
      </w:r>
    </w:p>
    <w:p w:rsidR="003E1C45" w:rsidRDefault="003E1C45" w:rsidP="00D53FCD">
      <w:pPr>
        <w:pStyle w:val="ac"/>
        <w:numPr>
          <w:ilvl w:val="0"/>
          <w:numId w:val="1"/>
        </w:numPr>
        <w:spacing w:line="360" w:lineRule="auto"/>
        <w:rPr>
          <w:rFonts w:ascii="David" w:hAnsi="David" w:cs="David"/>
          <w:sz w:val="24"/>
          <w:szCs w:val="24"/>
        </w:rPr>
      </w:pPr>
      <w:r>
        <w:rPr>
          <w:rFonts w:ascii="David" w:hAnsi="David" w:cs="David" w:hint="cs"/>
          <w:sz w:val="24"/>
          <w:szCs w:val="24"/>
          <w:rtl/>
        </w:rPr>
        <w:t>זאת ועוד, בשים לב לדברי עורך הדין כי השרות המשפטי לצורך עריכת הצוואה ה</w:t>
      </w:r>
      <w:r w:rsidR="007976D9">
        <w:rPr>
          <w:rFonts w:ascii="David" w:hAnsi="David" w:cs="David" w:hint="cs"/>
          <w:sz w:val="24"/>
          <w:szCs w:val="24"/>
          <w:rtl/>
        </w:rPr>
        <w:t>הדדית ניתן לבני הזוג במשותף, עדו</w:t>
      </w:r>
      <w:r>
        <w:rPr>
          <w:rFonts w:ascii="David" w:hAnsi="David" w:cs="David" w:hint="cs"/>
          <w:sz w:val="24"/>
          <w:szCs w:val="24"/>
          <w:rtl/>
        </w:rPr>
        <w:t xml:space="preserve">תו של עורך הדין עשויה להביא למצב בו </w:t>
      </w:r>
      <w:r w:rsidR="00DC2D5E">
        <w:rPr>
          <w:rFonts w:ascii="David" w:hAnsi="David" w:cs="David" w:hint="cs"/>
          <w:sz w:val="24"/>
          <w:szCs w:val="24"/>
          <w:rtl/>
        </w:rPr>
        <w:t>"נגרר" לדיון בצוואת הנתבעת 1 עוד בחייה. מצב שאין להתירו.</w:t>
      </w:r>
    </w:p>
    <w:p w:rsidR="0042191A" w:rsidRPr="00D53FCD" w:rsidRDefault="00DC2D5E" w:rsidP="00D53FCD">
      <w:pPr>
        <w:pStyle w:val="ac"/>
        <w:numPr>
          <w:ilvl w:val="0"/>
          <w:numId w:val="1"/>
        </w:numPr>
        <w:spacing w:line="360" w:lineRule="auto"/>
        <w:rPr>
          <w:rFonts w:ascii="David" w:hAnsi="David" w:cs="David"/>
          <w:sz w:val="24"/>
          <w:szCs w:val="24"/>
        </w:rPr>
      </w:pPr>
      <w:r>
        <w:rPr>
          <w:rFonts w:ascii="David" w:hAnsi="David" w:cs="David" w:hint="cs"/>
          <w:sz w:val="24"/>
          <w:szCs w:val="24"/>
          <w:rtl/>
        </w:rPr>
        <w:t xml:space="preserve">על כן, </w:t>
      </w:r>
      <w:r w:rsidR="0042191A">
        <w:rPr>
          <w:rFonts w:ascii="David" w:hAnsi="David" w:cs="David" w:hint="cs"/>
          <w:sz w:val="24"/>
          <w:szCs w:val="24"/>
          <w:rtl/>
        </w:rPr>
        <w:t>משהודיעה הנתבעת 1 כי אינה מוותרת על החיסיון, לא ניתן להעיד את עורך הדין בכל הנוגע לשירות שניתן לו לבני הזוג</w:t>
      </w:r>
      <w:r w:rsidR="00EA76A3">
        <w:rPr>
          <w:rFonts w:ascii="David" w:hAnsi="David" w:cs="David" w:hint="cs"/>
          <w:sz w:val="24"/>
          <w:szCs w:val="24"/>
          <w:rtl/>
        </w:rPr>
        <w:t>, או למי מהם,</w:t>
      </w:r>
      <w:r w:rsidR="0042191A">
        <w:rPr>
          <w:rFonts w:ascii="David" w:hAnsi="David" w:cs="David" w:hint="cs"/>
          <w:sz w:val="24"/>
          <w:szCs w:val="24"/>
          <w:rtl/>
        </w:rPr>
        <w:t xml:space="preserve"> במסגרת עריכת הצוואה.</w:t>
      </w:r>
    </w:p>
    <w:p w:rsidR="00D53FCD" w:rsidRPr="0042191A" w:rsidRDefault="00D53FCD" w:rsidP="00D53FCD">
      <w:pPr>
        <w:pStyle w:val="ac"/>
        <w:numPr>
          <w:ilvl w:val="0"/>
          <w:numId w:val="1"/>
        </w:numPr>
        <w:spacing w:line="360" w:lineRule="auto"/>
        <w:rPr>
          <w:rFonts w:ascii="David" w:hAnsi="David" w:cs="David"/>
          <w:b/>
          <w:bCs/>
          <w:sz w:val="24"/>
          <w:szCs w:val="24"/>
        </w:rPr>
      </w:pPr>
      <w:r w:rsidRPr="00D53FCD">
        <w:rPr>
          <w:rFonts w:ascii="David" w:hAnsi="David" w:cs="David"/>
          <w:sz w:val="24"/>
          <w:szCs w:val="24"/>
          <w:rtl/>
        </w:rPr>
        <w:t xml:space="preserve">לא נעלמה מעיני האפשרות כי יש באי העדת העד כדי לסכל את יכולתם של התובעים להוכיח תביעתם, אך, משמדובר בזכות מוחלטת, לא ניתן להסירה ללא ויתור הלקוח, וזאת אף באם זכות זו מתנגשת עם עיקרון גילוי האמת ועשיית צדק (ר': </w:t>
      </w:r>
      <w:r w:rsidRPr="0042191A">
        <w:rPr>
          <w:rFonts w:ascii="David" w:hAnsi="David" w:cs="David"/>
          <w:b/>
          <w:bCs/>
          <w:sz w:val="24"/>
          <w:szCs w:val="24"/>
          <w:rtl/>
        </w:rPr>
        <w:t>: רע"א 2235/04 בנק דיסקונט לישראל בע"מ נ' אלי שירי (פ"ד ס"א(2) 634).</w:t>
      </w:r>
      <w:r w:rsidRPr="00D53FCD">
        <w:rPr>
          <w:rFonts w:ascii="David" w:hAnsi="David" w:cs="David"/>
          <w:sz w:val="24"/>
          <w:szCs w:val="24"/>
          <w:rtl/>
        </w:rPr>
        <w:t xml:space="preserve"> שכן, אין לאזן חיסיון עורך דין- לקוח מול אינטרסים אחרים (ר': </w:t>
      </w:r>
      <w:r w:rsidRPr="0042191A">
        <w:rPr>
          <w:rFonts w:ascii="David" w:hAnsi="David" w:cs="David"/>
          <w:b/>
          <w:bCs/>
          <w:sz w:val="24"/>
          <w:szCs w:val="24"/>
          <w:rtl/>
        </w:rPr>
        <w:t>כב' השופט שוחט ברמ"ש 43781-05-17 (מיום 31.10.2017)</w:t>
      </w:r>
      <w:r w:rsidR="003E1C45">
        <w:rPr>
          <w:rFonts w:ascii="David" w:hAnsi="David" w:cs="David" w:hint="cs"/>
          <w:b/>
          <w:bCs/>
          <w:sz w:val="24"/>
          <w:szCs w:val="24"/>
          <w:rtl/>
        </w:rPr>
        <w:t>.</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יוער כי לא מצאתי מקום ליתן משמעות לטענת התובעים לפיה העד זומן כדין ע"י בי</w:t>
      </w:r>
      <w:r w:rsidR="0042191A">
        <w:rPr>
          <w:rFonts w:ascii="David" w:hAnsi="David" w:cs="David" w:hint="cs"/>
          <w:sz w:val="24"/>
          <w:szCs w:val="24"/>
          <w:rtl/>
        </w:rPr>
        <w:t>ת</w:t>
      </w:r>
      <w:r w:rsidRPr="00D53FCD">
        <w:rPr>
          <w:rFonts w:ascii="David" w:hAnsi="David" w:cs="David"/>
          <w:sz w:val="24"/>
          <w:szCs w:val="24"/>
          <w:rtl/>
        </w:rPr>
        <w:t xml:space="preserve"> המשפט, שכן, אין בעצם זימון העד ע"י בית המשפט כדי להוות </w:t>
      </w:r>
      <w:r w:rsidR="0042191A">
        <w:rPr>
          <w:rFonts w:ascii="David" w:hAnsi="David" w:cs="David" w:hint="cs"/>
          <w:sz w:val="24"/>
          <w:szCs w:val="24"/>
          <w:rtl/>
        </w:rPr>
        <w:t xml:space="preserve">משום </w:t>
      </w:r>
      <w:r w:rsidRPr="00D53FCD">
        <w:rPr>
          <w:rFonts w:ascii="David" w:hAnsi="David" w:cs="David"/>
          <w:sz w:val="24"/>
          <w:szCs w:val="24"/>
          <w:rtl/>
        </w:rPr>
        <w:t>הסרת חיסיון עורך דין- לקוח, אשר, כאמור, הינו חיסיון מוחלט</w:t>
      </w:r>
      <w:r w:rsidR="0042191A">
        <w:rPr>
          <w:rFonts w:ascii="David" w:hAnsi="David" w:cs="David" w:hint="cs"/>
          <w:sz w:val="24"/>
          <w:szCs w:val="24"/>
          <w:rtl/>
        </w:rPr>
        <w:t>,</w:t>
      </w:r>
      <w:r w:rsidRPr="00D53FCD">
        <w:rPr>
          <w:rFonts w:ascii="David" w:hAnsi="David" w:cs="David"/>
          <w:sz w:val="24"/>
          <w:szCs w:val="24"/>
          <w:rtl/>
        </w:rPr>
        <w:t xml:space="preserve"> אשר רק הלקוח רשאי לוותר עליו.</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לאור האמור, המסקנה הינה כ</w:t>
      </w:r>
      <w:r w:rsidR="0042191A">
        <w:rPr>
          <w:rFonts w:ascii="David" w:hAnsi="David" w:cs="David" w:hint="cs"/>
          <w:sz w:val="24"/>
          <w:szCs w:val="24"/>
          <w:rtl/>
        </w:rPr>
        <w:t>י</w:t>
      </w:r>
      <w:r w:rsidRPr="00D53FCD">
        <w:rPr>
          <w:rFonts w:ascii="David" w:hAnsi="David" w:cs="David"/>
          <w:sz w:val="24"/>
          <w:szCs w:val="24"/>
          <w:rtl/>
        </w:rPr>
        <w:t xml:space="preserve"> חל חיסיון עורך דין- לקוח, אשר, בנסיבות דנן,</w:t>
      </w:r>
      <w:r w:rsidR="0042191A">
        <w:rPr>
          <w:rFonts w:ascii="David" w:hAnsi="David" w:cs="David"/>
          <w:sz w:val="24"/>
          <w:szCs w:val="24"/>
          <w:rtl/>
        </w:rPr>
        <w:t xml:space="preserve"> לא ניתן להסירו. ולכן, עו"ד</w:t>
      </w:r>
      <w:r w:rsidR="007976D9">
        <w:rPr>
          <w:rFonts w:ascii="David" w:hAnsi="David" w:cs="David" w:hint="cs"/>
          <w:sz w:val="24"/>
          <w:szCs w:val="24"/>
          <w:rtl/>
        </w:rPr>
        <w:t xml:space="preserve"> </w:t>
      </w:r>
      <w:r w:rsidR="007976D9">
        <w:rPr>
          <w:rFonts w:ascii="David" w:hAnsi="David" w:cs="David" w:hint="cs"/>
          <w:sz w:val="24"/>
          <w:szCs w:val="24"/>
        </w:rPr>
        <w:t>YYYY</w:t>
      </w:r>
      <w:r w:rsidR="0042191A">
        <w:rPr>
          <w:rFonts w:ascii="David" w:hAnsi="David" w:cs="David" w:hint="cs"/>
          <w:sz w:val="24"/>
          <w:szCs w:val="24"/>
          <w:rtl/>
        </w:rPr>
        <w:t xml:space="preserve"> </w:t>
      </w:r>
      <w:r w:rsidRPr="00D53FCD">
        <w:rPr>
          <w:rFonts w:ascii="David" w:hAnsi="David" w:cs="David"/>
          <w:sz w:val="24"/>
          <w:szCs w:val="24"/>
          <w:rtl/>
        </w:rPr>
        <w:t>מנוע מלהעיד מטעם התובעים</w:t>
      </w:r>
      <w:r w:rsidR="0042191A">
        <w:rPr>
          <w:rFonts w:ascii="David" w:hAnsi="David" w:cs="David" w:hint="cs"/>
          <w:sz w:val="24"/>
          <w:szCs w:val="24"/>
          <w:rtl/>
        </w:rPr>
        <w:t xml:space="preserve"> בכל הנוגע לייצוג שניתן על ידו למנוח ולנתבעת 1, או למי מהם, במסגרת עריכת הצוואה</w:t>
      </w:r>
      <w:r w:rsidRPr="00D53FCD">
        <w:rPr>
          <w:rFonts w:ascii="David" w:hAnsi="David" w:cs="David"/>
          <w:sz w:val="24"/>
          <w:szCs w:val="24"/>
          <w:rtl/>
        </w:rPr>
        <w:t>.</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בשים לב כי ההליך מצוי בתום שמיעת ההוכחות, אדרש לסוגיית החיוב בהוצאות במסגרת פסק הדין.</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התובעים יגישו סיכומיהם בתוך 30 ימים מהיום, עם העתק ישירות לצד שכנגד.</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הנתבעים יגישו סיכומיהם בתוך 30 ימים מיום קבלת סיכומי התובעים, עם העתק ישירות לצד שכנגד.</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היקף הסיכומים לא יעלה על 7 עמודים.</w:t>
      </w:r>
    </w:p>
    <w:p w:rsidR="00D53FCD" w:rsidRPr="00D53FCD" w:rsidRDefault="00D53FCD" w:rsidP="00D53FCD">
      <w:pPr>
        <w:pStyle w:val="ac"/>
        <w:numPr>
          <w:ilvl w:val="0"/>
          <w:numId w:val="1"/>
        </w:numPr>
        <w:spacing w:line="360" w:lineRule="auto"/>
        <w:rPr>
          <w:rFonts w:ascii="David" w:hAnsi="David" w:cs="David"/>
          <w:sz w:val="24"/>
          <w:szCs w:val="24"/>
        </w:rPr>
      </w:pPr>
      <w:r w:rsidRPr="00D53FCD">
        <w:rPr>
          <w:rFonts w:ascii="David" w:hAnsi="David" w:cs="David"/>
          <w:sz w:val="24"/>
          <w:szCs w:val="24"/>
          <w:rtl/>
        </w:rPr>
        <w:t>התובעים יהיו רשאים להגיש סיכומי תשובה, 10 ימים, לאחר קבלת סיכומי הנתבעים.</w:t>
      </w:r>
    </w:p>
    <w:p w:rsidR="00DC2D5E" w:rsidRPr="007976D9" w:rsidRDefault="00D53FCD" w:rsidP="007976D9">
      <w:pPr>
        <w:pStyle w:val="ac"/>
        <w:spacing w:line="360" w:lineRule="auto"/>
        <w:rPr>
          <w:rFonts w:ascii="David" w:hAnsi="David" w:cs="David"/>
          <w:sz w:val="24"/>
          <w:szCs w:val="24"/>
        </w:rPr>
      </w:pPr>
      <w:r w:rsidRPr="00D53FCD">
        <w:rPr>
          <w:rFonts w:ascii="David" w:hAnsi="David" w:cs="David"/>
          <w:sz w:val="24"/>
          <w:szCs w:val="24"/>
          <w:rtl/>
        </w:rPr>
        <w:t>היקף סיכומי התשובה לא יעלה על 3 עמודים.</w:t>
      </w:r>
    </w:p>
    <w:p w:rsidR="00D53FCD" w:rsidRPr="0042191A" w:rsidRDefault="00D53FCD" w:rsidP="00D53FCD">
      <w:pPr>
        <w:pStyle w:val="ac"/>
        <w:numPr>
          <w:ilvl w:val="0"/>
          <w:numId w:val="1"/>
        </w:numPr>
        <w:spacing w:line="360" w:lineRule="auto"/>
        <w:rPr>
          <w:b/>
          <w:bCs/>
        </w:rPr>
      </w:pPr>
      <w:r w:rsidRPr="0042191A">
        <w:rPr>
          <w:rFonts w:ascii="David" w:hAnsi="David" w:cs="David"/>
          <w:b/>
          <w:bCs/>
          <w:sz w:val="24"/>
          <w:szCs w:val="24"/>
          <w:rtl/>
        </w:rPr>
        <w:t>ת.פ. לכתיבת פסק הדין ליום 5.7.2023.</w:t>
      </w:r>
    </w:p>
    <w:p w:rsidR="00094813" w:rsidRDefault="00094813">
      <w:pPr>
        <w:spacing w:line="360" w:lineRule="auto"/>
        <w:jc w:val="both"/>
        <w:rPr>
          <w:rFonts w:ascii="Arial" w:hAnsi="Arial"/>
          <w:noProof w:val="0"/>
          <w:rtl/>
        </w:rPr>
      </w:pPr>
    </w:p>
    <w:p w:rsidR="002914D6" w:rsidRDefault="0042191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81669360"/>
          <w:text w:multiLine="1"/>
        </w:sdtPr>
        <w:sdtEndPr/>
        <w:sdtContent>
          <w:r>
            <w:rPr>
              <w:rFonts w:ascii="Arial" w:hAnsi="Arial"/>
              <w:noProof w:val="0"/>
              <w:rtl/>
            </w:rPr>
            <w:t>ד' ניסן תשפ"ג</w:t>
          </w:r>
        </w:sdtContent>
      </w:sdt>
      <w:r w:rsidR="00011212">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26 מרץ 2023</w:t>
          </w:r>
        </w:sdtContent>
      </w:sdt>
      <w:r w:rsidR="00011212">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A741A">
      <w:pPr>
        <w:spacing w:line="360" w:lineRule="auto"/>
        <w:ind w:left="3600" w:firstLine="720"/>
        <w:jc w:val="both"/>
      </w:pPr>
      <w:sdt>
        <w:sdtPr>
          <w:rPr>
            <w:rtl/>
          </w:rPr>
          <w:alias w:val="MergeField"/>
          <w:tag w:val="1237"/>
          <w:id w:val="-2139562288"/>
        </w:sdtPr>
        <w:sdtEndPr/>
        <w:sdtContent>
          <w:r w:rsidR="006A2B88">
            <w:drawing>
              <wp:inline distT="0" distB="0" distL="0" distR="0" wp14:editId="50D07946">
                <wp:extent cx="140970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09700" cy="850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41A" w:rsidRDefault="00CA741A">
      <w:r>
        <w:separator/>
      </w:r>
    </w:p>
  </w:endnote>
  <w:endnote w:type="continuationSeparator" w:id="0">
    <w:p w:rsidR="00CA741A" w:rsidRDefault="00CA7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5048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50485">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41A" w:rsidRDefault="00CA741A">
      <w:r>
        <w:separator/>
      </w:r>
    </w:p>
  </w:footnote>
  <w:footnote w:type="continuationSeparator" w:id="0">
    <w:p w:rsidR="00CA741A" w:rsidRDefault="00CA7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CA741A" w:rsidP="007976D9">
          <w:pPr>
            <w:rPr>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23070-04-22</w:t>
              </w:r>
            </w:sdtContent>
          </w:sdt>
          <w:r w:rsidR="00011212">
            <w:rPr>
              <w:b/>
              <w:bCs/>
              <w:noProof w:val="0"/>
              <w:sz w:val="26"/>
              <w:szCs w:val="26"/>
              <w:rtl/>
            </w:rPr>
            <w:t xml:space="preserve"> </w:t>
          </w: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4867EA"/>
    <w:multiLevelType w:val="hybridMultilevel"/>
    <w:tmpl w:val="EE4A1A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0F44F6"/>
    <w:rsid w:val="00101505"/>
    <w:rsid w:val="0014058F"/>
    <w:rsid w:val="001E0EB7"/>
    <w:rsid w:val="001E165B"/>
    <w:rsid w:val="00242BA8"/>
    <w:rsid w:val="00250485"/>
    <w:rsid w:val="002914D6"/>
    <w:rsid w:val="002E249E"/>
    <w:rsid w:val="002F5307"/>
    <w:rsid w:val="003C2B44"/>
    <w:rsid w:val="003C669B"/>
    <w:rsid w:val="003E1C45"/>
    <w:rsid w:val="0042191A"/>
    <w:rsid w:val="004507D5"/>
    <w:rsid w:val="00503A57"/>
    <w:rsid w:val="00530E94"/>
    <w:rsid w:val="005A306F"/>
    <w:rsid w:val="005C5955"/>
    <w:rsid w:val="006A2B88"/>
    <w:rsid w:val="007976D9"/>
    <w:rsid w:val="007F3111"/>
    <w:rsid w:val="00822AA5"/>
    <w:rsid w:val="008638AB"/>
    <w:rsid w:val="008F6484"/>
    <w:rsid w:val="00920BBB"/>
    <w:rsid w:val="00946045"/>
    <w:rsid w:val="00A54660"/>
    <w:rsid w:val="00A7661B"/>
    <w:rsid w:val="00AD77F6"/>
    <w:rsid w:val="00B31305"/>
    <w:rsid w:val="00B4010A"/>
    <w:rsid w:val="00C226D6"/>
    <w:rsid w:val="00C83577"/>
    <w:rsid w:val="00CA741A"/>
    <w:rsid w:val="00CE7F78"/>
    <w:rsid w:val="00D53FCD"/>
    <w:rsid w:val="00DC2D5E"/>
    <w:rsid w:val="00EA76A3"/>
    <w:rsid w:val="00EC08AF"/>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D53FC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64464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1308</Words>
  <Characters>6543</Characters>
  <Application>Microsoft Office Word</Application>
  <DocSecurity>0</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2023-04-02T12:40:00Z</dcterms:created>
  <dcterms:modified xsi:type="dcterms:W3CDTF">2023-04-02T12:40:00Z</dcterms:modified>
</cp:coreProperties>
</file>